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4B1F29"/>
        </w:rPr>
        <w:t>Public Recreation, Ballot Access, and Local Civic Participation</w:t>
      </w:r>
    </w:p>
    <w:p>
      <w:pPr>
        <w:jc w:val="center"/>
      </w:pPr>
      <w:r>
        <w:rPr>
          <w:b/>
          <w:sz w:val="22"/>
        </w:rPr>
        <w:t>Benjamin Scott</w:t>
      </w:r>
      <w:r>
        <w:rPr>
          <w:i/>
          <w:sz w:val="20"/>
        </w:rPr>
        <w:br/>
        <w:t>Prepared on behalf of Seattle Parks and Recreation</w:t>
      </w:r>
    </w:p>
    <w:p>
      <w:pPr>
        <w:jc w:val="center"/>
      </w:pPr>
      <w:r>
        <w:rPr>
          <w:i/>
          <w:sz w:val="24"/>
        </w:rPr>
        <w:t>A combined precinct-level study of RNTS, permanent recreation infrastructure, and Seattle turnout</w:t>
      </w:r>
    </w:p>
    <w:p>
      <w:pPr>
        <w:jc w:val="center"/>
      </w:pPr>
      <w:r>
        <w:t>Research note prepared for the RNTS Civic Engagement Study</w:t>
      </w:r>
    </w:p>
    <w:p>
      <w:pPr>
        <w:jc w:val="center"/>
      </w:pPr>
      <w:r>
        <w:t>Seattle precinct analysis, 2023-2025</w:t>
      </w:r>
    </w:p>
    <w:p>
      <w:pPr>
        <w:pStyle w:val="Heading1"/>
      </w:pPr>
      <w:r>
        <w:rPr>
          <w:color w:val="6A2E35"/>
        </w:rPr>
        <w:t>Abstract</w:t>
      </w:r>
    </w:p>
    <w:p>
      <w:r>
        <w:t>This combined research note joins two related analyses of recreation and civic participation in Seattle. The first examines Rec'N the Streets (RNTS), a mobile recreation and public-space activation program, through a weighted turnout-change model comparing Seattle precinct turnout between the 2023 and 2025 general elections. The second examines permanent recreation infrastructure - operating community centers and Teen Life Centers - through a 2025 cross-sectional turnout model. The purpose of combining the analyses is not to force them into one causal design. It is to compare two different institutional forms of public recreation: temporary/mobile activation and durable/fixed civic-recreational infrastructure. The RNTS model finds no statistically reliable standalone RNTS turnout effect, but it does find a stronger ballot-dropbox association where recent RNTS exposure is present. In the weighted marginal-effects model, Dropbox proximity is associated with approximately 1.00 percentage point higher turnout growth where recent RNTS is absent and approximately 3.33 percentage points higher turnout growth where recent RNTS is present. By contrast, the permanent infrastructure model finds no statistically significant independent association between being within 500 meters of an operating community center or Teen Life Center and 2025 turnout percentage after ACS controls are introduced. Together, the findings suggest that recreation may be civically relevant less as a direct voter-mobilization instrument and more as part of the neighborhood civic environment in which public visibility, social connection, and formal voting access can become mutually reinforcing. The evidence is observational and quasi-spatial; it should be interpreted as suggestive rather than causal.</w:t>
      </w:r>
    </w:p>
    <w:p>
      <w:pPr>
        <w:pStyle w:val="Heading1"/>
      </w:pPr>
      <w:r>
        <w:rPr>
          <w:color w:val="6A2E35"/>
        </w:rPr>
        <w:t>1. Introduction</w:t>
      </w:r>
    </w:p>
    <w:p>
      <w:r>
        <w:t>Public recreation programs are usually evaluated through attendance, youth engagement, safety, health, social cohesion, and program delivery. This study asks a broader institutional question: whether public recreation can also be studied as civic infrastructure. In this framing, recreation is not merely a leisure service. It is also a repeated, visible, and low-barrier form of local government presence in neighborhood space.</w:t>
      </w:r>
    </w:p>
    <w:p>
      <w:r>
        <w:t>The combined paper contains two linked but distinct empirical analyses. The RNTS analysis examines mobile public-space activation. RNTS appears in parks and neighborhood settings during the 2023-2025 study window, allowing the analysis to use turnout change from 2023 to 2025 as its outcome. The permanent recreation infrastructure analysis examines operating community centers and Teen Life Centers. These are fixed institutions that largely predate the election window, so they are analyzed through a 2025 cross-sectional turnout model rather than a before-and-after treatment model.</w:t>
      </w:r>
    </w:p>
    <w:p>
      <w:r>
        <w:t>The conceptual distinction is important. A mobile program can be evaluated as a treatment-adjacent exposure, even if it is not randomly assigned. A fixed community center cannot credibly be treated as a new intervention unless the research design exploits an opening, closure, renovation, or boundary discontinuity. The permanent infrastructure model therefore asks a more modest question: do precincts near these durable recreation institutions have higher 2025 turnout levels than otherwise comparable precincts?</w:t>
      </w:r>
    </w:p>
    <w:p>
      <w:r>
        <w:t>The combined evidence speaks to the difference between recreation as activation and recreation as embedded infrastructure. The RNTS results point toward complementarity with ballot access. The permanent infrastructure results show that a durable recreation asset does not produce a separately detectable turnout signal once neighborhood structure is controlled. The contrast is substantively useful: dynamic public-space activation may show up most clearly when paired with formal civic access, while long-standing recreation centers may already be folded into the neighborhood characteristics that predict turnout.</w:t>
      </w:r>
    </w:p>
    <w:p>
      <w:pPr>
        <w:pStyle w:val="Heading1"/>
      </w:pPr>
      <w:r>
        <w:rPr>
          <w:color w:val="6A2E35"/>
        </w:rPr>
        <w:t>2. Unified Civic-Infrastructure Frame</w:t>
      </w:r>
    </w:p>
    <w:p>
      <w:r>
        <w:t>The study draws on several related literatures. Civic voluntarism models emphasize that political participation is shaped by resources, engagement, and recruitment (Verba, Schlozman, and Brady 1995; Brady, Verba, and Schlozman 1995). Social-capital traditions emphasize networks, trust, and repeated association (Coleman 1988; Putnam 2000). Urban sociology and social-infrastructure work emphasize the physical places and organizations that structure repeated interaction, especially libraries, parks, community centers, and other shared public institutions (Oldenburg 1989; Klinenberg 2018).</w:t>
      </w:r>
    </w:p>
    <w:p>
      <w:r>
        <w:t>RNTS and permanent recreation infrastructure enter that civic-infrastructure frame in different ways. RNTS represents episodic municipal activation: it brings staff, games, programming, and public agency into parks and neighborhood spaces. Community centers and Teen Life Centers represent durable institutional presence: they are recurring neighborhood points of contact with public programming, staff, routines, and social gathering. Both may plausibly matter for civic participation, but not through identical empirical pathways.</w:t>
      </w:r>
    </w:p>
    <w:p>
      <w:r>
        <w:t>The expected relationship is not a simplistic 'recreation causes voting' pathway. Recreation may instead affect the civic environment: the visibility of government, the density of weak ties, the perceived accessibility of public institutions, and the cost of converting civic interest into action when voting infrastructure is nearby. That is why the RNTS model emphasizes the interaction between recent RNTS exposure and ballot dropbox access, while the permanent infrastructure model emphasizes adjusted cross-sectional differences in turnout levels.</w:t>
      </w:r>
    </w:p>
    <w:p>
      <w:pPr>
        <w:pStyle w:val="Heading1"/>
      </w:pPr>
      <w:r>
        <w:rPr>
          <w:color w:val="6A2E35"/>
        </w:rPr>
        <w:t>3. Data Construction and Methodology</w:t>
      </w:r>
    </w:p>
    <w:p>
      <w:pPr>
        <w:pStyle w:val="Heading2"/>
      </w:pPr>
      <w:r>
        <w:rPr>
          <w:color w:val="A51C30"/>
        </w:rPr>
        <w:t>3.1 Unit of analysis and shared spatial frame</w:t>
      </w:r>
    </w:p>
    <w:p>
      <w:r>
        <w:t>The unit of analysis is the Seattle precinct. Both analyses rely on precinct-level election data and spatially constructed exposure variables. The RNTS model uses 2025 Seattle precinct geography as the master spatial frame and harmonizes 2023 turnout into that frame. This is necessary because precinct boundaries can change across elections. Rather than comparing unlike administrative geographies, each 2025 precinct is assigned a harmonized 2023 baseline using centroid-based spatial matching. The permanent recreation infrastructure model uses the same precinct logic but focuses only on the 2025 cross-section.</w:t>
      </w:r>
    </w:p>
    <w:p>
      <w:r>
        <w:t>The centroid-based approach is a transparent and replicable way to create a consistent analytical geography. It is not perfect. It assumes that the centroid is a reasonable representative point for assigning prior turnout, tract characteristics, and spatial proximity. In compact precincts this assumption is usually defensible. In irregular or elongated precincts, centroid assignment can misclassify exposure near boundaries. This is a standard challenge in spatial social science and relates to the modifiable areal unit problem and ecological inference concerns (Robinson 1950; Openshaw 1984). The study therefore treats centroid exposure as a tractable approximation, not as individual-level treatment measurement.</w:t>
      </w:r>
    </w:p>
    <w:p>
      <w:r>
        <w:t>The methodological choice mirrors common quasi-spatial evaluation strategies in which researchers impose a consistent geography, construct proximity-based exposure, and use contextual covariates to improve comparability. The design is not a geographic regression discontinuity in the strict sense, because treatment is not assigned by crossing a known administrative boundary. However, it belongs to the broader family of quasi-experimental and spatial observational designs that use geography to structure comparison groups (Angrist and Pischke 2009; Imbens and Wooldridge 2009; Keele and Titiunik 2015).</w:t>
      </w:r>
    </w:p>
    <w:p>
      <w:pPr>
        <w:pStyle w:val="Heading2"/>
      </w:pPr>
      <w:r>
        <w:rPr>
          <w:color w:val="A51C30"/>
        </w:rPr>
        <w:t>3.2 Turnout outcomes</w:t>
      </w:r>
    </w:p>
    <w:p>
      <w:r>
        <w:t>The RNTS model uses turnout percentage-point change from 2023 to 2025 as the dependent variable. This outcome compares each precinct's 2025 turnout against its harmonized 2023 baseline. The change specification helps absorb stable precinct-level civic participation differences that would otherwise dominate a single-year turnout comparison. It is not a full difference-in-differences design with multiple pre-periods, but it moves closer to a treatment-adjacent change framework than a pure cross-section.</w:t>
      </w:r>
    </w:p>
    <w:p>
      <w:r>
        <w:t>The permanent recreation infrastructure model uses 2025 turnout percentage as the dependent variable. This is the appropriate outcome because community centers and Teen Life Centers are durable assets rather than new interventions introduced between the 2023 and 2025 elections. Using turnout change for permanent infrastructure would imply an unsupported before-and-after treatment logic. In this model, the coefficient on recreation infrastructure is interpreted as an adjusted cross-sectional association, not as a treatment effect.</w:t>
      </w:r>
    </w:p>
    <w:p>
      <w:r>
        <w:t>Raw ballots counted are not used as the main dependent variable because raw counts primarily reflect precinct size. Turnout percentage is a cleaner measure of civic participation intensity. Registered voters in 2025 are retained as weights in the RNTS model and as an optional scale variable in the permanent infrastructure file.</w:t>
      </w:r>
    </w:p>
    <w:p>
      <w:pPr>
        <w:pStyle w:val="Heading2"/>
      </w:pPr>
      <w:r>
        <w:rPr>
          <w:color w:val="A51C30"/>
        </w:rPr>
        <w:t>3.3 RNTS treatment construction</w:t>
      </w:r>
    </w:p>
    <w:p>
      <w:r>
        <w:t>RNTS exposure is constructed from geocoded park activation points and a treatment window spanning Fall 2023 through Summer 2025. Summer 2023 is excluded because it predates the post-2023 election comparison period. Fall 2025 is excluded because it occurs too close to, or after, the 2025 general election period. The preferred specification emphasizes recent 2025 RNTS exposure, recent RNTS session counts, and the interaction between recent RNTS exposure and nearby Dropbox access.</w:t>
      </w:r>
    </w:p>
    <w:p>
      <w:r>
        <w:t>The spatial logic is exposure to municipal activation, not individual program participation. A precinct is treated when the precinct geography is close enough to an RNTS activation point to plausibly experience the activation as part of neighborhood public space. This is a weaker claim than saying that residents personally attended RNTS. It is closer to the logic used in place-based policy evaluation: the neighborhood is exposed to a programmatic public presence, while individual take-up remains unobserved.</w:t>
      </w:r>
    </w:p>
    <w:p>
      <w:r>
        <w:t>The model also retains RNTS session counts to separate simple exposure from dosage. The count variable recognizes that a single activation and repeated programming may not have identical civic meaning. The preferred model nevertheless treats recent binary exposure and session count separately so that the interaction with Dropbox access can be interpreted as the conditional relationship between recent activation and formal voting infrastructure.</w:t>
      </w:r>
    </w:p>
    <w:p>
      <w:pPr>
        <w:pStyle w:val="Heading2"/>
      </w:pPr>
      <w:r>
        <w:rPr>
          <w:color w:val="A51C30"/>
        </w:rPr>
        <w:t>3.4 Permanent recreation infrastructure construction</w:t>
      </w:r>
    </w:p>
    <w:p>
      <w:r>
        <w:t>Permanent recreation infrastructure is constructed from a verified 2025 list of Seattle Parks community centers and Teen Life Centers. The facility universe is intentionally strict. A facility is included only if the building itself was operating as an in-building public recreation or teen-programming asset during 2025. Facilities that were closed, operating off-site, or limited to narrow non-public uses are excluded from the main binary. This prevents the model from coding a precinct as near an operating civic-recreational asset when the asset was not meaningfully available as a public building exposure.</w:t>
      </w:r>
    </w:p>
    <w:p>
      <w:r>
        <w:t>A precinct is coded as exposed to permanent recreation infrastructure if it falls within 500 meters of an included community center or Teen Life Center. The 500-meter buffer is preferable to the initial 200-meter version because community centers operate as neighborhood institutions rather than block-face amenities. A 200-meter centroid threshold captured only immediate adjacency; the 500-meter threshold better reflects a plausible walking-access and neighborhood-institution zone.</w:t>
      </w:r>
    </w:p>
    <w:p>
      <w:r>
        <w:t>The regression-ready file retains RecInfra_500m_Binary as the main explanatory variable and RecInfra_Count_Within_500m as an optional saturation variable. The count variable is not used in the main model, but retaining it supports future robustness tests that ask whether multiple nearby facilities produce a different association than a simple binary threshold.</w:t>
      </w:r>
    </w:p>
    <w:p>
      <w:pPr>
        <w:pStyle w:val="Heading2"/>
      </w:pPr>
      <w:r>
        <w:rPr>
          <w:color w:val="A51C30"/>
        </w:rPr>
        <w:t>3.5 Ballot Dropbox access</w:t>
      </w:r>
    </w:p>
    <w:p>
      <w:r>
        <w:t>Ballot access is measured with a binary indicator for whether the precinct is within 500 meters of a Seattle ballot Dropbox. This measure is included in both analyses because it captures a direct form of voting infrastructure. In the RNTS analysis, the Dropbox variable is central: the main theoretical question is whether public-space activation and formal ballot access reinforce one another. In the permanent infrastructure model, Dropbox proximity is included as a control for formal voting access.</w:t>
      </w:r>
    </w:p>
    <w:p>
      <w:r>
        <w:t>The ballot-access logic is grounded in the cost-of-voting tradition. Voting is more likely when the direct and indirect costs of participation are lower (Downs 1957; Riker and Ordeshook 1968). Spatial voting-access research similarly emphasizes that distance to voting infrastructure can influence participation or the mode of voting (Haspel and Knotts 2005). In this study, Dropbox proximity does not measure every dimension of voting access, but it does capture visible, formal, nearby infrastructure for ballot return.</w:t>
      </w:r>
    </w:p>
    <w:p>
      <w:pPr>
        <w:pStyle w:val="Heading2"/>
      </w:pPr>
      <w:r>
        <w:rPr>
          <w:color w:val="A51C30"/>
        </w:rPr>
        <w:t>3.6 ACS control vector</w:t>
      </w:r>
    </w:p>
    <w:p>
      <w:r>
        <w:t>Both models include a tract-level ACS characteristic vector assigned to precincts through the constructed precinct-tract relationship. The vector includes median household income, bachelor's-degree share, age 65-plus share, poverty share, owner-occupied housing share, unemployment rate, same-house-one-year share, foreign-born share, non-Hispanic white share, and Hispanic/Latino share. These controls reflect well-established correlates of political participation: resources, education, age, residential stability, tenure, labor-market position, and neighborhood composition (Verba, Schlozman, and Brady 1995; Brady, Verba, and Schlozman 1995).</w:t>
      </w:r>
    </w:p>
    <w:p>
      <w:r>
        <w:t>The ACS variables improve comparability, but they also introduce interpretive tension. Some of the variables may be confounders, but others may be part of the civic environment through which recreation infrastructure matters. For example, residential stability and owner occupancy may predict turnout independently, but they may also be affected over the long run by neighborhood institutional quality and perceived civic attachment. As a result, the controlled permanent-infrastructure coefficient should be understood as a narrow residual association rather than the total civic role of recreation infrastructure.</w:t>
      </w:r>
    </w:p>
    <w:p>
      <w:pPr>
        <w:pStyle w:val="Heading2"/>
      </w:pPr>
      <w:r>
        <w:rPr>
          <w:color w:val="A51C30"/>
        </w:rPr>
        <w:t>3.7 Quasi-experimental posture and identification limits</w:t>
      </w:r>
    </w:p>
    <w:p>
      <w:r>
        <w:t>The RNTS portion of the paper is quasi-experimental in posture because it uses time, geography, exposure, and a baseline comparison to estimate turnout change. It is not a randomized experiment. RNTS sites were selected through programmatic and operational decisions, not random assignment. Dropbox locations are also not randomly assigned. The model therefore cannot identify a clean causal effect in the way a randomized controlled trial could.</w:t>
      </w:r>
    </w:p>
    <w:p>
      <w:r>
        <w:t>Still, the design is stronger than a purely descriptive comparison. It uses a harmonized 2025 precinct geography, a pre/post turnout-change outcome, registered-voter weights, a spatially constructed exposure framework, and a rich ACS vector. This resembles the logic of many applied quasi-experimental studies that cannot randomize programs but can still create structured comparisons using timing, geography, covariates, and robustness checks (Angrist and Pischke 2009; Imbens and Wooldridge 2009).</w:t>
      </w:r>
    </w:p>
    <w:p>
      <w:r>
        <w:t>The permanent infrastructure model is more explicitly cross-sectional. It does not claim quasi-experimental causal identification. Its value is comparative and diagnostic: it tests whether durable recreation infrastructure has an independent cross-sectional association with turnout levels once the same broader ACS and ballot-access environment is accounted for. In combination, the two models show how different institutional forms of recreation require different empirical designs.</w:t>
      </w:r>
    </w:p>
    <w:p>
      <w:pPr>
        <w:pStyle w:val="Heading1"/>
      </w:pPr>
      <w:r>
        <w:rPr>
          <w:color w:val="6A2E35"/>
        </w:rPr>
        <w:t>4. Model Specifications</w:t>
      </w:r>
    </w:p>
    <w:p>
      <w:pPr>
        <w:pStyle w:val="Heading2"/>
      </w:pPr>
      <w:r>
        <w:rPr>
          <w:color w:val="A51C30"/>
        </w:rPr>
        <w:t>4.1 RNTS turnout-change interaction model</w:t>
      </w:r>
    </w:p>
    <w:p>
      <w:pPr>
        <w:pStyle w:val="Equation"/>
        <w:keepNext/>
        <w:keepLines/>
      </w:pPr>
      <w:r>
        <w:rPr>
          <w:rFonts w:ascii="Cambria Math" w:hAnsi="Cambria Math" w:eastAsia="Cambria Math"/>
          <w:i w:val="0"/>
          <w:color w:val="6A2E35"/>
          <w:sz w:val="25"/>
        </w:rPr>
        <w:t>Δ</w:t>
      </w:r>
      <w:r>
        <w:rPr>
          <w:rFonts w:ascii="Cambria Math" w:hAnsi="Cambria Math" w:eastAsia="Cambria Math"/>
          <w:i/>
          <w:color w:val="6A2E35"/>
          <w:sz w:val="25"/>
        </w:rPr>
        <w:t>Turnout</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α + β</w:t>
      </w:r>
      <w:r>
        <w:rPr>
          <w:rFonts w:ascii="Cambria Math" w:hAnsi="Cambria Math" w:eastAsia="Cambria Math"/>
          <w:i w:val="0"/>
          <w:color w:val="6A2E35"/>
          <w:sz w:val="25"/>
          <w:vertAlign w:val="subscript"/>
        </w:rPr>
        <w:t>1</w:t>
      </w:r>
      <w:r>
        <w:rPr>
          <w:rFonts w:ascii="Cambria Math" w:hAnsi="Cambria Math" w:eastAsia="Cambria Math"/>
          <w:i/>
          <w:color w:val="6A2E35"/>
          <w:sz w:val="25"/>
        </w:rPr>
        <w:t>RNTSRecent</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2</w:t>
      </w:r>
      <w:r>
        <w:rPr>
          <w:rFonts w:ascii="Cambria Math" w:hAnsi="Cambria Math" w:eastAsia="Cambria Math"/>
          <w:i/>
          <w:color w:val="6A2E35"/>
          <w:sz w:val="25"/>
        </w:rPr>
        <w:t>RNTSSessions</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3</w:t>
      </w:r>
      <w:r>
        <w:rPr>
          <w:rFonts w:ascii="Cambria Math" w:hAnsi="Cambria Math" w:eastAsia="Cambria Math"/>
          <w:i/>
          <w:color w:val="6A2E35"/>
          <w:sz w:val="25"/>
        </w:rPr>
        <w:t>Dropbox500</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4</w:t>
      </w:r>
      <w:r>
        <w:rPr>
          <w:rFonts w:ascii="Cambria Math" w:hAnsi="Cambria Math" w:eastAsia="Cambria Math"/>
          <w:i w:val="0"/>
          <w:color w:val="6A2E35"/>
          <w:sz w:val="25"/>
        </w:rPr>
        <w:t>(</w:t>
      </w:r>
      <w:r>
        <w:rPr>
          <w:rFonts w:ascii="Cambria Math" w:hAnsi="Cambria Math" w:eastAsia="Cambria Math"/>
          <w:i/>
          <w:color w:val="6A2E35"/>
          <w:sz w:val="25"/>
        </w:rPr>
        <w:t>RNTSRecent</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w:t>
      </w:r>
      <w:r>
        <w:rPr>
          <w:rFonts w:ascii="Cambria Math" w:hAnsi="Cambria Math" w:eastAsia="Cambria Math"/>
          <w:i/>
          <w:color w:val="6A2E35"/>
          <w:sz w:val="25"/>
        </w:rPr>
        <w:t>Dropbox500</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w:t>
      </w:r>
      <w:r>
        <w:rPr>
          <w:rFonts w:ascii="Cambria Math" w:hAnsi="Cambria Math" w:eastAsia="Cambria Math"/>
          <w:i/>
          <w:color w:val="6A2E35"/>
          <w:sz w:val="25"/>
        </w:rPr>
        <w:t>X</w:t>
      </w:r>
      <w:r>
        <w:rPr>
          <w:rFonts w:ascii="Cambria Math" w:hAnsi="Cambria Math" w:eastAsia="Cambria Math"/>
          <w:i/>
          <w:color w:val="6A2E35"/>
          <w:sz w:val="25"/>
          <w:vertAlign w:val="subscript"/>
        </w:rPr>
        <w:t>p</w:t>
      </w:r>
      <w:r>
        <w:rPr>
          <w:rFonts w:ascii="Cambria Math" w:hAnsi="Cambria Math" w:eastAsia="Cambria Math"/>
          <w:i w:val="0"/>
          <w:color w:val="6A2E35"/>
          <w:sz w:val="25"/>
        </w:rPr>
        <w:t>θ + ε</w:t>
      </w:r>
      <w:r>
        <w:rPr>
          <w:rFonts w:ascii="Cambria Math" w:hAnsi="Cambria Math" w:eastAsia="Cambria Math"/>
          <w:i/>
          <w:color w:val="6A2E35"/>
          <w:sz w:val="25"/>
          <w:vertAlign w:val="subscript"/>
        </w:rPr>
        <w:t>p</w:t>
      </w:r>
    </w:p>
    <w:p>
      <w:pPr>
        <w:shd w:fill="F7F3ED" w:val="clear"/>
        <w:pBdr>
          <w:left w:val="single" w:sz="8" w:color="A8864B" w:space="6"/>
        </w:pBdr>
      </w:pPr>
      <w:r>
        <w:rPr>
          <w:i/>
          <w:color w:val="A51C30"/>
        </w:rPr>
        <w:t>Here, ΔTurnout_p is the turnout percentage-point change from 2023 to 2025 in precinct p. RNTSRecent_p is a binary indicator for recent RNTS exposure, RNTSSessions_p is the recent RNTS session count, Dropbox500_p is a binary indicator for being within 500 meters of a ballot Dropbox, X_p is the ACS vector, and ε_p is the error term. The model is weighted by 2025 registered voters and estimated with HC1 robust standard errors.</w:t>
      </w:r>
    </w:p>
    <w:tbl>
      <w:tblPr>
        <w:tblStyle w:val="TableGrid"/>
        <w:tblW w:type="dxa" w:w="10080"/>
        <w:jc w:val="center"/>
        <w:tblLayout w:type="fixed"/>
        <w:tblLook w:firstColumn="1" w:firstRow="1" w:lastColumn="0" w:lastRow="0" w:noHBand="0" w:noVBand="1" w:val="04A0"/>
        <w:tblBorders>
          <w:top w:val="single" w:sz="4" w:color="DDD6CC"/>
          <w:bottom w:val="single" w:sz="4" w:color="DDD6CC"/>
          <w:insideH w:val="single" w:sz="4" w:color="DDD6CC"/>
          <w:left w:val="nil"/>
          <w:right w:val="nil"/>
          <w:insideV w:val="nil"/>
        </w:tblBorders>
        <w:tblCellMar>
          <w:top w:w="28" w:type="dxa"/>
          <w:bottom w:w="28" w:type="dxa"/>
          <w:left w:w="60" w:type="dxa"/>
          <w:right w:w="60" w:type="dxa"/>
        </w:tblCellMar>
      </w:tblPr>
      <w:tblGrid>
        <w:gridCol w:w="7776"/>
        <w:gridCol w:w="2304"/>
      </w:tblGrid>
      <w:tr>
        <w:trPr>
          <w:cantSplit/>
          <w:tblHeader/>
        </w:trPr>
        <w:tc>
          <w:tcPr>
            <w:tcW w:type="dxa" w:w="7776"/>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left"/>
            </w:pPr>
            <w:r>
              <w:rPr>
                <w:rFonts w:ascii="Aptos" w:hAnsi="Aptos" w:eastAsia="Aptos"/>
                <w:b/>
                <w:color w:val="FFFFFF"/>
                <w:sz w:val="18"/>
              </w:rPr>
              <w:t>Conditional quantity</w:t>
            </w:r>
          </w:p>
        </w:tc>
        <w:tc>
          <w:tcPr>
            <w:tcW w:type="dxa" w:w="2304"/>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center"/>
            </w:pPr>
            <w:r>
              <w:rPr>
                <w:rFonts w:ascii="Aptos" w:hAnsi="Aptos" w:eastAsia="Aptos"/>
                <w:b/>
                <w:color w:val="FFFFFF"/>
                <w:sz w:val="18"/>
              </w:rPr>
              <w:t>Expression</w:t>
            </w:r>
          </w:p>
        </w:tc>
      </w:tr>
      <w:tr>
        <w:trPr>
          <w:cantSplit/>
        </w:trPr>
        <w:tc>
          <w:tcPr>
            <w:tcW w:type="dxa" w:w="7776"/>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8"/>
              </w:rPr>
              <w:t>RNTS effect when not near a Dropbox</w:t>
            </w:r>
          </w:p>
        </w:tc>
        <w:tc>
          <w:tcPr>
            <w:tcW w:type="dxa" w:w="2304"/>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center"/>
            </w:pPr>
            <w:r>
              <w:rPr>
                <w:rFonts w:ascii="Aptos" w:hAnsi="Aptos" w:eastAsia="Aptos"/>
                <w:color w:val="6A2E35"/>
                <w:sz w:val="18"/>
              </w:rPr>
              <w:t>β₁</w:t>
            </w:r>
          </w:p>
        </w:tc>
      </w:tr>
      <w:tr>
        <w:trPr>
          <w:cantSplit/>
        </w:trPr>
        <w:tc>
          <w:tcPr>
            <w:tcW w:type="dxa" w:w="7776"/>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8"/>
              </w:rPr>
              <w:t>RNTS effect when near a Dropbox</w:t>
            </w:r>
          </w:p>
        </w:tc>
        <w:tc>
          <w:tcPr>
            <w:tcW w:type="dxa" w:w="2304"/>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center"/>
            </w:pPr>
            <w:r>
              <w:rPr>
                <w:rFonts w:ascii="Aptos" w:hAnsi="Aptos" w:eastAsia="Aptos"/>
                <w:color w:val="6A2E35"/>
                <w:sz w:val="18"/>
              </w:rPr>
              <w:t>β₁ + β₄</w:t>
            </w:r>
          </w:p>
        </w:tc>
      </w:tr>
      <w:tr>
        <w:trPr>
          <w:cantSplit/>
        </w:trPr>
        <w:tc>
          <w:tcPr>
            <w:tcW w:type="dxa" w:w="7776"/>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8"/>
              </w:rPr>
              <w:t>Dropbox effect when no recent RNTS is present</w:t>
            </w:r>
          </w:p>
        </w:tc>
        <w:tc>
          <w:tcPr>
            <w:tcW w:type="dxa" w:w="2304"/>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center"/>
            </w:pPr>
            <w:r>
              <w:rPr>
                <w:rFonts w:ascii="Aptos" w:hAnsi="Aptos" w:eastAsia="Aptos"/>
                <w:color w:val="6A2E35"/>
                <w:sz w:val="18"/>
              </w:rPr>
              <w:t>β₃</w:t>
            </w:r>
          </w:p>
        </w:tc>
      </w:tr>
      <w:tr>
        <w:trPr>
          <w:cantSplit/>
        </w:trPr>
        <w:tc>
          <w:tcPr>
            <w:tcW w:type="dxa" w:w="7776"/>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8"/>
              </w:rPr>
              <w:t>Dropbox effect when recent RNTS is present</w:t>
            </w:r>
          </w:p>
        </w:tc>
        <w:tc>
          <w:tcPr>
            <w:tcW w:type="dxa" w:w="2304"/>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center"/>
            </w:pPr>
            <w:r>
              <w:rPr>
                <w:rFonts w:ascii="Aptos" w:hAnsi="Aptos" w:eastAsia="Aptos"/>
                <w:color w:val="6A2E35"/>
                <w:sz w:val="18"/>
              </w:rPr>
              <w:t>β₃ + β₄</w:t>
            </w:r>
          </w:p>
        </w:tc>
      </w:tr>
      <w:tr>
        <w:trPr>
          <w:cantSplit/>
        </w:trPr>
        <w:tc>
          <w:tcPr>
            <w:tcW w:type="dxa" w:w="7776"/>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8"/>
              </w:rPr>
              <w:t>Additional interaction effect</w:t>
            </w:r>
          </w:p>
        </w:tc>
        <w:tc>
          <w:tcPr>
            <w:tcW w:type="dxa" w:w="2304"/>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center"/>
            </w:pPr>
            <w:r>
              <w:rPr>
                <w:rFonts w:ascii="Aptos" w:hAnsi="Aptos" w:eastAsia="Aptos"/>
                <w:color w:val="6A2E35"/>
                <w:sz w:val="18"/>
              </w:rPr>
              <w:t>β₄</w:t>
            </w:r>
          </w:p>
        </w:tc>
      </w:tr>
    </w:tbl>
    <w:p>
      <w:pPr>
        <w:pStyle w:val="SmallText"/>
      </w:pPr>
      <w:r>
        <w:rPr>
          <w:i/>
        </w:rPr>
        <w:t>Because the model contains an interaction term, the coefficient on RNTSRecent is not the general effect of RNTS; it is the RNTS association when Dropbox500 = 0. Likewise, the Dropbox coefficient is the dropbox association when recent RNTS exposure is absent.</w:t>
      </w:r>
    </w:p>
    <w:p>
      <w:pPr>
        <w:pStyle w:val="Heading2"/>
      </w:pPr>
      <w:r>
        <w:rPr>
          <w:color w:val="A51C30"/>
        </w:rPr>
        <w:t>4.2 Permanent recreation infrastructure model</w:t>
      </w:r>
    </w:p>
    <w:p>
      <w:pPr>
        <w:pStyle w:val="Equation"/>
        <w:keepNext/>
        <w:keepLines/>
      </w:pPr>
      <w:r>
        <w:rPr>
          <w:rFonts w:ascii="Cambria Math" w:hAnsi="Cambria Math" w:eastAsia="Cambria Math"/>
          <w:i/>
          <w:color w:val="6A2E35"/>
          <w:sz w:val="25"/>
        </w:rPr>
        <w:t>TurnoutPercent</w:t>
      </w:r>
      <w:r>
        <w:rPr>
          <w:rFonts w:ascii="Cambria Math" w:hAnsi="Cambria Math" w:eastAsia="Cambria Math"/>
          <w:i/>
          <w:color w:val="6A2E35"/>
          <w:sz w:val="25"/>
          <w:vertAlign w:val="subscript"/>
        </w:rPr>
        <w:t>p,2025</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0</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1</w:t>
      </w:r>
      <w:r>
        <w:rPr>
          <w:rFonts w:ascii="Cambria Math" w:hAnsi="Cambria Math" w:eastAsia="Cambria Math"/>
          <w:i/>
          <w:color w:val="6A2E35"/>
          <w:sz w:val="25"/>
        </w:rPr>
        <w:t>RecInfra500</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β</w:t>
      </w:r>
      <w:r>
        <w:rPr>
          <w:rFonts w:ascii="Cambria Math" w:hAnsi="Cambria Math" w:eastAsia="Cambria Math"/>
          <w:i w:val="0"/>
          <w:color w:val="6A2E35"/>
          <w:sz w:val="25"/>
          <w:vertAlign w:val="subscript"/>
        </w:rPr>
        <w:t>2</w:t>
      </w:r>
      <w:r>
        <w:rPr>
          <w:rFonts w:ascii="Cambria Math" w:hAnsi="Cambria Math" w:eastAsia="Cambria Math"/>
          <w:i/>
          <w:color w:val="6A2E35"/>
          <w:sz w:val="25"/>
        </w:rPr>
        <w:t>Dropbox500</w:t>
      </w:r>
      <w:r>
        <w:rPr>
          <w:rFonts w:ascii="Cambria Math" w:hAnsi="Cambria Math" w:eastAsia="Cambria Math"/>
          <w:i/>
          <w:color w:val="6A2E35"/>
          <w:sz w:val="25"/>
          <w:vertAlign w:val="subscript"/>
        </w:rPr>
        <w:t>p</w:t>
      </w:r>
      <w:r>
        <w:rPr>
          <w:rFonts w:ascii="Cambria Math" w:hAnsi="Cambria Math" w:eastAsia="Cambria Math"/>
          <w:i w:val="0"/>
          <w:color w:val="6A2E35"/>
          <w:sz w:val="25"/>
        </w:rPr>
        <w:t xml:space="preserve"> + </w:t>
      </w:r>
      <w:r>
        <w:rPr>
          <w:rFonts w:ascii="Cambria Math" w:hAnsi="Cambria Math" w:eastAsia="Cambria Math"/>
          <w:i/>
          <w:color w:val="6A2E35"/>
          <w:sz w:val="25"/>
        </w:rPr>
        <w:t>X</w:t>
      </w:r>
      <w:r>
        <w:rPr>
          <w:rFonts w:ascii="Cambria Math" w:hAnsi="Cambria Math" w:eastAsia="Cambria Math"/>
          <w:i/>
          <w:color w:val="6A2E35"/>
          <w:sz w:val="25"/>
          <w:vertAlign w:val="subscript"/>
        </w:rPr>
        <w:t>p</w:t>
      </w:r>
      <w:r>
        <w:rPr>
          <w:rFonts w:ascii="Cambria Math" w:hAnsi="Cambria Math" w:eastAsia="Cambria Math"/>
          <w:i w:val="0"/>
          <w:color w:val="6A2E35"/>
          <w:sz w:val="25"/>
        </w:rPr>
        <w:t>γ + ε</w:t>
      </w:r>
      <w:r>
        <w:rPr>
          <w:rFonts w:ascii="Cambria Math" w:hAnsi="Cambria Math" w:eastAsia="Cambria Math"/>
          <w:i/>
          <w:color w:val="6A2E35"/>
          <w:sz w:val="25"/>
          <w:vertAlign w:val="subscript"/>
        </w:rPr>
        <w:t>p</w:t>
      </w:r>
    </w:p>
    <w:p>
      <w:pPr>
        <w:shd w:fill="F7F3ED" w:val="clear"/>
        <w:pBdr>
          <w:left w:val="single" w:sz="8" w:color="A8864B" w:space="6"/>
        </w:pBdr>
      </w:pPr>
      <w:r>
        <w:rPr>
          <w:i/>
          <w:color w:val="A51C30"/>
        </w:rPr>
        <w:t>Here, TurnoutPercent_p,2025 is the 2025 turnout percentage in precinct p. RecInfra500_p equals one if the precinct is within 500 meters of an included operating community center or Teen Life Center. Dropbox500_p equals one if the precinct is within 500 meters of a ballot Dropbox. X_p is the same ACS vector used in the RNTS analysis. The coefficient β₁ is the adjusted cross-sectional turnout difference associated with proximity to permanent recreation infrastructure; it is not a causal treatment effect.</w:t>
      </w:r>
    </w:p>
    <w:p>
      <w:pPr>
        <w:pStyle w:val="Heading1"/>
      </w:pPr>
      <w:r>
        <w:rPr>
          <w:color w:val="6A2E35"/>
        </w:rPr>
        <w:t>5. Results</w:t>
      </w:r>
    </w:p>
    <w:p>
      <w:pPr>
        <w:pStyle w:val="Heading2"/>
      </w:pPr>
      <w:r>
        <w:rPr>
          <w:color w:val="A51C30"/>
        </w:rPr>
        <w:t>5.1 RNTS weighted turnout-change model</w:t>
      </w:r>
    </w:p>
    <w:p>
      <w:r>
        <w:t>The preferred RNTS model uses 1,001 precinct observations after excluding rows with missing ACS controls. The dependent variable is turnout percentage-point change from 2023 to 2025. The model is weighted by 2025 registered voters and uses HC1 robust standard errors. The model's R-squared is 0.160 and adjusted R-squared is 0.148.</w:t>
      </w:r>
    </w:p>
    <w:p>
      <w:pPr>
        <w:pStyle w:val="SmallText"/>
        <w:keepNext/>
      </w:pPr>
      <w:r>
        <w:rPr>
          <w:b/>
          <w:color w:val="6A2E35"/>
        </w:rPr>
        <w:t>Table 1. Weighted turnout-change model: RNTS recency and ballot access</w:t>
      </w:r>
    </w:p>
    <w:tbl>
      <w:tblPr>
        <w:tblStyle w:val="TableGrid"/>
        <w:tblW w:type="dxa" w:w="10080"/>
        <w:jc w:val="center"/>
        <w:tblLayout w:type="fixed"/>
        <w:tblLook w:firstColumn="1" w:firstRow="1" w:lastColumn="0" w:lastRow="0" w:noHBand="0" w:noVBand="1" w:val="04A0"/>
        <w:tblBorders>
          <w:top w:val="single" w:sz="4" w:color="DDD6CC"/>
          <w:bottom w:val="single" w:sz="4" w:color="DDD6CC"/>
          <w:insideH w:val="single" w:sz="4" w:color="DDD6CC"/>
          <w:left w:val="nil"/>
          <w:right w:val="nil"/>
          <w:insideV w:val="nil"/>
        </w:tblBorders>
        <w:tblCellMar>
          <w:top w:w="28" w:type="dxa"/>
          <w:bottom w:w="28" w:type="dxa"/>
          <w:left w:w="60" w:type="dxa"/>
          <w:right w:w="60" w:type="dxa"/>
        </w:tblCellMar>
      </w:tblPr>
      <w:tblGrid>
        <w:gridCol w:w="4752"/>
        <w:gridCol w:w="1872"/>
        <w:gridCol w:w="1728"/>
        <w:gridCol w:w="1728"/>
      </w:tblGrid>
      <w:tr>
        <w:trPr>
          <w:cantSplit/>
          <w:tblHeader/>
        </w:trPr>
        <w:tc>
          <w:tcPr>
            <w:tcW w:type="dxa" w:w="4752"/>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left"/>
            </w:pPr>
            <w:r>
              <w:rPr>
                <w:rFonts w:ascii="Aptos" w:hAnsi="Aptos" w:eastAsia="Aptos"/>
                <w:b/>
                <w:color w:val="FFFFFF"/>
                <w:sz w:val="17"/>
              </w:rPr>
              <w:t>Variable</w:t>
            </w:r>
          </w:p>
        </w:tc>
        <w:tc>
          <w:tcPr>
            <w:tcW w:type="dxa" w:w="1872"/>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Coefficient</w:t>
            </w:r>
          </w:p>
        </w:tc>
        <w:tc>
          <w:tcPr>
            <w:tcW w:type="dxa" w:w="1728"/>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Robust SE</w:t>
            </w:r>
          </w:p>
        </w:tc>
        <w:tc>
          <w:tcPr>
            <w:tcW w:type="dxa" w:w="1728"/>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p-value</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Constant</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11.666***</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2.765</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Recent RNTS exposure</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-1.597</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1.581</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0.312</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Recent RNTS sessions</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0.620</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0.640</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0.333</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Dropbox within 500 meters</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0.997**</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0.402</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0.013</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Recent RNTS x Dropbox within 500m</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2.331</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1.432</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0.103</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Median household income</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-0.000033***</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0.000006</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Bachelor's degree or higher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0.085***</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0.019</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Age 65+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-0.115***</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0.029</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Poverty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0.012</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0.027</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0.664</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Owner-occupied housing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-0.013</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0.013</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0.343</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Unemployment rate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-0.070</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0.047</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0.135</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Same house one year ago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0.033</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0.024</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0.164</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Foreign-born population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-0.092***</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0.025</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Non-Hispanic White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-0.031*</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0.018</w:t>
            </w:r>
          </w:p>
        </w:tc>
        <w:tc>
          <w:tcPr>
            <w:tcW w:type="dxa" w:w="1728"/>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0.084</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Hispanic or Latino (%)</w:t>
            </w:r>
          </w:p>
        </w:tc>
        <w:tc>
          <w:tcPr>
            <w:tcW w:type="dxa" w:w="1872"/>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-0.021</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0.040</w:t>
            </w:r>
          </w:p>
        </w:tc>
        <w:tc>
          <w:tcPr>
            <w:tcW w:type="dxa" w:w="1728"/>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0.600</w:t>
            </w:r>
          </w:p>
        </w:tc>
      </w:tr>
    </w:tbl>
    <w:p>
      <w:pPr>
        <w:pStyle w:val="SmallText"/>
      </w:pPr>
      <w:r>
        <w:rPr>
          <w:i/>
        </w:rPr>
        <w:t>Notes: Dependent variable is turnout percentage-point change, 2025 minus 2023. Model weighted by 2025 registered voters. HC1 robust standard errors. N = 1,001. R² = 0.160; adjusted R² = 0.148. *** p&lt;0.01, ** p&lt;0.05, * p&lt;0.10.</w:t>
      </w:r>
    </w:p>
    <w:p>
      <w:r>
        <w:t>The RNTS model does not show a statistically significant standalone RNTS effect. Recent RNTS exposure is negative and insignificant, while recent RNTS session count is positive and insignificant. The dropbox coefficient, however, is positive and statistically significant: precincts within 500 meters of a ballot Dropbox are associated with approximately 1.00 percentage point greater turnout growth when recent RNTS exposure is absent. The RNTS x Dropbox interaction is positive, approximately 2.33 percentage points, but does not reach conventional statistical significance. This means the model suggests complementarity, but the interaction estimate itself is imprecise.</w:t>
      </w:r>
    </w:p>
    <w:p>
      <w:pPr>
        <w:pStyle w:val="Heading2"/>
      </w:pPr>
      <w:r>
        <w:rPr>
          <w:color w:val="A51C30"/>
        </w:rPr>
        <w:t>5.2 Marginal effects from the RNTS interaction model</w:t>
      </w:r>
    </w:p>
    <w:p>
      <w:pPr>
        <w:pStyle w:val="SmallText"/>
        <w:keepNext/>
      </w:pPr>
      <w:r>
        <w:rPr>
          <w:b/>
          <w:color w:val="6A2E35"/>
        </w:rPr>
        <w:t>Table 2. Marginal effects from the weighted RNTS-Dropbox model</w:t>
      </w:r>
    </w:p>
    <w:tbl>
      <w:tblPr>
        <w:tblStyle w:val="TableGrid"/>
        <w:tblW w:type="dxa" w:w="10080"/>
        <w:jc w:val="center"/>
        <w:tblLayout w:type="fixed"/>
        <w:tblLook w:firstColumn="1" w:firstRow="1" w:lastColumn="0" w:lastRow="0" w:noHBand="0" w:noVBand="1" w:val="04A0"/>
        <w:tblBorders>
          <w:top w:val="single" w:sz="4" w:color="DDD6CC"/>
          <w:bottom w:val="single" w:sz="4" w:color="DDD6CC"/>
          <w:insideH w:val="single" w:sz="4" w:color="DDD6CC"/>
          <w:left w:val="nil"/>
          <w:right w:val="nil"/>
          <w:insideV w:val="nil"/>
        </w:tblBorders>
        <w:tblCellMar>
          <w:top w:w="28" w:type="dxa"/>
          <w:bottom w:w="28" w:type="dxa"/>
          <w:left w:w="60" w:type="dxa"/>
          <w:right w:w="60" w:type="dxa"/>
        </w:tblCellMar>
      </w:tblPr>
      <w:tblGrid>
        <w:gridCol w:w="4752"/>
        <w:gridCol w:w="1080"/>
        <w:gridCol w:w="1080"/>
        <w:gridCol w:w="864"/>
        <w:gridCol w:w="2304"/>
      </w:tblGrid>
      <w:tr>
        <w:trPr>
          <w:cantSplit/>
          <w:tblHeader/>
        </w:trPr>
        <w:tc>
          <w:tcPr>
            <w:tcW w:type="dxa" w:w="4752"/>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left"/>
            </w:pPr>
            <w:r>
              <w:rPr>
                <w:rFonts w:ascii="Aptos" w:hAnsi="Aptos" w:eastAsia="Aptos"/>
                <w:b/>
                <w:color w:val="FFFFFF"/>
                <w:sz w:val="17"/>
              </w:rPr>
              <w:t>Marginal effect</w:t>
            </w:r>
          </w:p>
        </w:tc>
        <w:tc>
          <w:tcPr>
            <w:tcW w:type="dxa" w:w="1080"/>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Estimate</w:t>
            </w:r>
          </w:p>
        </w:tc>
        <w:tc>
          <w:tcPr>
            <w:tcW w:type="dxa" w:w="1080"/>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Robust SE</w:t>
            </w:r>
          </w:p>
        </w:tc>
        <w:tc>
          <w:tcPr>
            <w:tcW w:type="dxa" w:w="864"/>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p-value</w:t>
            </w:r>
          </w:p>
        </w:tc>
        <w:tc>
          <w:tcPr>
            <w:tcW w:type="dxa" w:w="2304"/>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7"/>
              </w:rPr>
              <w:t>95% CI</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RNTS effect when not near a Dropbox</w:t>
            </w:r>
          </w:p>
        </w:tc>
        <w:tc>
          <w:tcPr>
            <w:tcW w:type="dxa" w:w="1080"/>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-1.597</w:t>
            </w:r>
          </w:p>
        </w:tc>
        <w:tc>
          <w:tcPr>
            <w:tcW w:type="dxa" w:w="1080"/>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1.581</w:t>
            </w:r>
          </w:p>
        </w:tc>
        <w:tc>
          <w:tcPr>
            <w:tcW w:type="dxa" w:w="86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0.312</w:t>
            </w:r>
          </w:p>
        </w:tc>
        <w:tc>
          <w:tcPr>
            <w:tcW w:type="dxa" w:w="230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-4.695 to 1.500</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RNTS effect when near a Dropbox</w:t>
            </w:r>
          </w:p>
        </w:tc>
        <w:tc>
          <w:tcPr>
            <w:tcW w:type="dxa" w:w="1080"/>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0.734</w:t>
            </w:r>
          </w:p>
        </w:tc>
        <w:tc>
          <w:tcPr>
            <w:tcW w:type="dxa" w:w="1080"/>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1.646</w:t>
            </w:r>
          </w:p>
        </w:tc>
        <w:tc>
          <w:tcPr>
            <w:tcW w:type="dxa" w:w="86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0.656</w:t>
            </w:r>
          </w:p>
        </w:tc>
        <w:tc>
          <w:tcPr>
            <w:tcW w:type="dxa" w:w="230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-2.492 to 3.959</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Dropbox effect when no recent RNTS</w:t>
            </w:r>
          </w:p>
        </w:tc>
        <w:tc>
          <w:tcPr>
            <w:tcW w:type="dxa" w:w="1080"/>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0.997**</w:t>
            </w:r>
          </w:p>
        </w:tc>
        <w:tc>
          <w:tcPr>
            <w:tcW w:type="dxa" w:w="1080"/>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0.402</w:t>
            </w:r>
          </w:p>
        </w:tc>
        <w:tc>
          <w:tcPr>
            <w:tcW w:type="dxa" w:w="86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0.013</w:t>
            </w:r>
          </w:p>
        </w:tc>
        <w:tc>
          <w:tcPr>
            <w:tcW w:type="dxa" w:w="230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0.208 to 1.785</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7"/>
              </w:rPr>
              <w:t>Dropbox effect when recent RNTS is present</w:t>
            </w:r>
          </w:p>
        </w:tc>
        <w:tc>
          <w:tcPr>
            <w:tcW w:type="dxa" w:w="1080"/>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3.328**</w:t>
            </w:r>
          </w:p>
        </w:tc>
        <w:tc>
          <w:tcPr>
            <w:tcW w:type="dxa" w:w="1080"/>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1.375</w:t>
            </w:r>
          </w:p>
        </w:tc>
        <w:tc>
          <w:tcPr>
            <w:tcW w:type="dxa" w:w="86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0.016</w:t>
            </w:r>
          </w:p>
        </w:tc>
        <w:tc>
          <w:tcPr>
            <w:tcW w:type="dxa" w:w="230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7"/>
              </w:rPr>
              <w:t>0.633 to 6.023</w:t>
            </w:r>
          </w:p>
        </w:tc>
      </w:tr>
      <w:tr>
        <w:trPr>
          <w:cantSplit/>
        </w:trPr>
        <w:tc>
          <w:tcPr>
            <w:tcW w:type="dxa" w:w="475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7"/>
              </w:rPr>
              <w:t>Additional interaction effect</w:t>
            </w:r>
          </w:p>
        </w:tc>
        <w:tc>
          <w:tcPr>
            <w:tcW w:type="dxa" w:w="1080"/>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7"/>
              </w:rPr>
              <w:t>2.331</w:t>
            </w:r>
          </w:p>
        </w:tc>
        <w:tc>
          <w:tcPr>
            <w:tcW w:type="dxa" w:w="1080"/>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1.432</w:t>
            </w:r>
          </w:p>
        </w:tc>
        <w:tc>
          <w:tcPr>
            <w:tcW w:type="dxa" w:w="86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0.103</w:t>
            </w:r>
          </w:p>
        </w:tc>
        <w:tc>
          <w:tcPr>
            <w:tcW w:type="dxa" w:w="230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7"/>
              </w:rPr>
              <w:t>-0.475 to 5.137</w:t>
            </w:r>
          </w:p>
        </w:tc>
      </w:tr>
    </w:tbl>
    <w:p>
      <w:pPr>
        <w:pStyle w:val="SmallText"/>
      </w:pPr>
      <w:r>
        <w:rPr>
          <w:i/>
        </w:rPr>
        <w:t>Notes: Marginal effects are derived from the weighted interaction model. Model weighted by 2025 registered voters. HC1 robust standard errors. *** p&lt;0.01, ** p&lt;0.05, * p&lt;0.10.</w:t>
      </w:r>
    </w:p>
    <w:p>
      <w:r>
        <w:t>The marginal effects are the clearest expression of the RNTS finding. Dropbox proximity is associated with turnout growth even where recent RNTS is absent, but the estimated Dropbox association is much larger where recent RNTS exposure is present. The difference between the two Dropbox effects is the interaction coefficient, which is positive but not statistically significant at the 0.10 threshold. The strongest defensible phrasing is therefore: turnout growth is greatest where recent RNTS exposure and nearby ballot access overlap, but the evidence is suggestive rather than conclusive.</w:t>
      </w:r>
    </w:p>
    <w:p>
      <w:pPr>
        <w:pStyle w:val="Heading2"/>
      </w:pPr>
      <w:r>
        <w:rPr>
          <w:color w:val="A51C30"/>
        </w:rPr>
        <w:t>5.3 Permanent recreation infrastructure turnout-percentage model</w:t>
      </w:r>
    </w:p>
    <w:p>
      <w:r>
        <w:t>The permanent infrastructure model uses 2025 turnout percentage as the dependent variable, includes a constant, RecInfra_500m_Binary, Dropbox_500m_Binary, and the ACS control vector, and uses HC1 robust standard errors. The main regression uses 1,001 precinct observations after dropping 18 rows with missing median_household_income. R-squared is 0.549 and adjusted R-squared is 0.543.</w:t>
      </w:r>
    </w:p>
    <w:p>
      <w:pPr>
        <w:pStyle w:val="SmallText"/>
        <w:keepNext/>
      </w:pPr>
      <w:r>
        <w:rPr>
          <w:b/>
          <w:color w:val="6A2E35"/>
        </w:rPr>
        <w:t>Table 3. Main OLS regression of 2025 precinct turnout percentage</w:t>
      </w:r>
    </w:p>
    <w:tbl>
      <w:tblPr>
        <w:tblStyle w:val="TableGrid"/>
        <w:tblW w:type="dxa" w:w="10080"/>
        <w:jc w:val="center"/>
        <w:tblLayout w:type="fixed"/>
        <w:tblLook w:firstColumn="1" w:firstRow="1" w:lastColumn="0" w:lastRow="0" w:noHBand="0" w:noVBand="1" w:val="04A0"/>
        <w:tblBorders>
          <w:top w:val="single" w:sz="4" w:color="DDD6CC"/>
          <w:bottom w:val="single" w:sz="4" w:color="DDD6CC"/>
          <w:insideH w:val="single" w:sz="4" w:color="DDD6CC"/>
          <w:left w:val="nil"/>
          <w:right w:val="nil"/>
          <w:insideV w:val="nil"/>
        </w:tblBorders>
        <w:tblCellMar>
          <w:top w:w="28" w:type="dxa"/>
          <w:bottom w:w="28" w:type="dxa"/>
          <w:left w:w="60" w:type="dxa"/>
          <w:right w:w="60" w:type="dxa"/>
        </w:tblCellMar>
      </w:tblPr>
      <w:tblGrid>
        <w:gridCol w:w="3053"/>
        <w:gridCol w:w="1238"/>
        <w:gridCol w:w="1037"/>
        <w:gridCol w:w="792"/>
        <w:gridCol w:w="893"/>
        <w:gridCol w:w="1534"/>
        <w:gridCol w:w="1534"/>
      </w:tblGrid>
      <w:tr>
        <w:trPr>
          <w:cantSplit/>
          <w:tblHeader/>
        </w:trPr>
        <w:tc>
          <w:tcPr>
            <w:tcW w:type="dxa" w:w="3053"/>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left"/>
            </w:pPr>
            <w:r>
              <w:rPr>
                <w:rFonts w:ascii="Aptos" w:hAnsi="Aptos" w:eastAsia="Aptos"/>
                <w:b/>
                <w:color w:val="FFFFFF"/>
                <w:sz w:val="16"/>
              </w:rPr>
              <w:t>Variable</w:t>
            </w:r>
          </w:p>
        </w:tc>
        <w:tc>
          <w:tcPr>
            <w:tcW w:type="dxa" w:w="1238"/>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Coefficient</w:t>
            </w:r>
          </w:p>
        </w:tc>
        <w:tc>
          <w:tcPr>
            <w:tcW w:type="dxa" w:w="1037"/>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Robust SE</w:t>
            </w:r>
          </w:p>
        </w:tc>
        <w:tc>
          <w:tcPr>
            <w:tcW w:type="dxa" w:w="792"/>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t-stat</w:t>
            </w:r>
          </w:p>
        </w:tc>
        <w:tc>
          <w:tcPr>
            <w:tcW w:type="dxa" w:w="893"/>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p-value</w:t>
            </w:r>
          </w:p>
        </w:tc>
        <w:tc>
          <w:tcPr>
            <w:tcW w:type="dxa" w:w="1534"/>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95% CI lower</w:t>
            </w:r>
          </w:p>
        </w:tc>
        <w:tc>
          <w:tcPr>
            <w:tcW w:type="dxa" w:w="1534"/>
            <w:vAlign w:val="center"/>
            <w:tcBorders>
              <w:top w:sz="6" w:val="single" w:color="DDD6CC"/>
              <w:left w:sz="6" w:val="single" w:color="DDD6CC"/>
              <w:bottom w:sz="6" w:val="single" w:color="A8864B"/>
              <w:right w:sz="6" w:val="single" w:color="DDD6CC"/>
            </w:tcBorders>
            <w:shd w:val="clear" w:color="auto" w:fill="6A2E35"/>
          </w:tcPr>
          <w:p>
            <w:pPr>
              <w:keepNext/>
              <w:keepLines/>
              <w:spacing w:after="0" w:before="0" w:line="240" w:lineRule="auto"/>
              <w:jc w:val="right"/>
            </w:pPr>
            <w:r>
              <w:rPr>
                <w:rFonts w:ascii="Aptos" w:hAnsi="Aptos" w:eastAsia="Aptos"/>
                <w:b/>
                <w:color w:val="FFFFFF"/>
                <w:sz w:val="16"/>
              </w:rPr>
              <w:t>95% CI upper</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Constant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28.4266***</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5.7066</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4.981</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0.000</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17.2281</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39.6251</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RecInfra_500m_Binary</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-0.3297</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0.9404</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-0.351</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0.726</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-2.1751</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1.5157</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Dropbox_500m_Binary</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-0.2942</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0.8411</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-0.350</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0.727</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-1.9447</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1.3563</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median_household_income</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-0.000008</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0.000011</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-0.745</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0.456</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-0.000030</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0.000014</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bachelors_plus_pct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0.2016***</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0.0391</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5.157</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0.000</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0.1249</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0.2784</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age_65_plus_pct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0.0384</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0.0566</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0.679</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0.497</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-0.0726</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0.1494</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poverty_pct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-0.1090</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0.0690</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-1.579</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0.115</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-0.2445</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0.0265</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owner_occupied_pct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0.0774***</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0.0277</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2.794</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0.005</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0.0230</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0.1317</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unemployment_rate</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-0.1307</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0.0953</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-1.372</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0.170</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-0.3176</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0.0562</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same_house_1yr_pct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0.1520***</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0.0529</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2.875</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0.004</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0.0483</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0.2558</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foreign_born_pct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-0.3074***</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0.0534</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-5.762</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0.000</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-0.4121</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-0.2027</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left"/>
            </w:pPr>
            <w:r>
              <w:rPr>
                <w:rFonts w:ascii="Aptos" w:hAnsi="Aptos" w:eastAsia="Aptos"/>
                <w:color w:val="292929"/>
                <w:sz w:val="16"/>
              </w:rPr>
              <w:t>non_hispanic_white_pct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0.0934**</w:t>
            </w:r>
          </w:p>
        </w:tc>
        <w:tc>
          <w:tcPr>
            <w:tcW w:type="dxa" w:w="1037"/>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0.0402</w:t>
            </w:r>
          </w:p>
        </w:tc>
        <w:tc>
          <w:tcPr>
            <w:tcW w:type="dxa" w:w="792"/>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2.321</w:t>
            </w:r>
          </w:p>
        </w:tc>
        <w:tc>
          <w:tcPr>
            <w:tcW w:type="dxa" w:w="893"/>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0.020</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0.0144</w:t>
            </w:r>
          </w:p>
        </w:tc>
        <w:tc>
          <w:tcPr>
            <w:tcW w:type="dxa" w:w="1534"/>
            <w:vAlign w:val="center"/>
            <w:tcBorders>
              <w:top w:sz="6" w:val="single" w:color="DDD6CC"/>
              <w:left w:sz="6" w:val="single" w:color="DDD6CC"/>
              <w:bottom w:sz="6" w:val="single" w:color="DDD6CC"/>
              <w:right w:sz="6" w:val="single" w:color="DDD6CC"/>
            </w:tcBorders>
            <w:shd w:val="clear" w:color="auto" w:fill="FFFFFF"/>
          </w:tcPr>
          <w:p>
            <w:pPr>
              <w:keepNext w:val="0"/>
              <w:keepLines/>
              <w:spacing w:after="0" w:before="0" w:line="240" w:lineRule="auto"/>
              <w:jc w:val="right"/>
            </w:pPr>
            <w:r>
              <w:rPr>
                <w:rFonts w:ascii="Aptos" w:hAnsi="Aptos" w:eastAsia="Aptos"/>
                <w:color w:val="292929"/>
                <w:sz w:val="16"/>
              </w:rPr>
              <w:t>0.1723</w:t>
            </w:r>
          </w:p>
        </w:tc>
      </w:tr>
      <w:tr>
        <w:trPr>
          <w:cantSplit/>
        </w:trPr>
        <w:tc>
          <w:tcPr>
            <w:tcW w:type="dxa" w:w="305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left"/>
            </w:pPr>
            <w:r>
              <w:rPr>
                <w:rFonts w:ascii="Aptos" w:hAnsi="Aptos" w:eastAsia="Aptos"/>
                <w:color w:val="292929"/>
                <w:sz w:val="16"/>
              </w:rPr>
              <w:t>hispanic_latino_pct</w:t>
            </w:r>
          </w:p>
        </w:tc>
        <w:tc>
          <w:tcPr>
            <w:tcW w:type="dxa" w:w="1238"/>
            <w:vAlign w:val="center"/>
            <w:tcBorders>
              <w:top w:sz="6" w:val="single" w:color="DDD6CC"/>
              <w:left w:sz="6" w:val="single" w:color="DDD6CC"/>
              <w:bottom w:sz="6" w:val="single" w:color="DDD6CC"/>
              <w:right w:sz="6" w:val="single" w:color="DDD6CC"/>
            </w:tcBorders>
            <w:shd w:val="clear" w:color="auto" w:fill="F3E9D9"/>
          </w:tcPr>
          <w:p>
            <w:pPr>
              <w:keepNext w:val="0"/>
              <w:keepLines/>
              <w:spacing w:after="0" w:before="0" w:line="240" w:lineRule="auto"/>
              <w:jc w:val="right"/>
            </w:pPr>
            <w:r>
              <w:rPr>
                <w:rFonts w:ascii="Aptos" w:hAnsi="Aptos" w:eastAsia="Aptos"/>
                <w:color w:val="6A2E35"/>
                <w:sz w:val="16"/>
              </w:rPr>
              <w:t>-0.0044</w:t>
            </w:r>
          </w:p>
        </w:tc>
        <w:tc>
          <w:tcPr>
            <w:tcW w:type="dxa" w:w="1037"/>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0.0793</w:t>
            </w:r>
          </w:p>
        </w:tc>
        <w:tc>
          <w:tcPr>
            <w:tcW w:type="dxa" w:w="792"/>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-0.056</w:t>
            </w:r>
          </w:p>
        </w:tc>
        <w:tc>
          <w:tcPr>
            <w:tcW w:type="dxa" w:w="893"/>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0.955</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-0.1600</w:t>
            </w:r>
          </w:p>
        </w:tc>
        <w:tc>
          <w:tcPr>
            <w:tcW w:type="dxa" w:w="1534"/>
            <w:vAlign w:val="center"/>
            <w:tcBorders>
              <w:top w:sz="6" w:val="single" w:color="DDD6CC"/>
              <w:left w:sz="6" w:val="single" w:color="DDD6CC"/>
              <w:bottom w:sz="6" w:val="single" w:color="DDD6CC"/>
              <w:right w:sz="6" w:val="single" w:color="DDD6CC"/>
            </w:tcBorders>
            <w:shd w:val="clear" w:color="auto" w:fill="F7F3ED"/>
          </w:tcPr>
          <w:p>
            <w:pPr>
              <w:keepNext w:val="0"/>
              <w:keepLines/>
              <w:spacing w:after="0" w:before="0" w:line="240" w:lineRule="auto"/>
              <w:jc w:val="right"/>
            </w:pPr>
            <w:r>
              <w:rPr>
                <w:rFonts w:ascii="Aptos" w:hAnsi="Aptos" w:eastAsia="Aptos"/>
                <w:color w:val="292929"/>
                <w:sz w:val="16"/>
              </w:rPr>
              <w:t>0.1511</w:t>
            </w:r>
          </w:p>
        </w:tc>
      </w:tr>
    </w:tbl>
    <w:p>
      <w:pPr>
        <w:pStyle w:val="SmallText"/>
      </w:pPr>
      <w:r>
        <w:rPr>
          <w:i/>
        </w:rPr>
        <w:t>Notes: Dependent variable is turnout_percent_2025. OLS with constant. HC1 robust standard errors. Observations used: 1,001. Rows dropped: 18 due to missing median_household_income. R² = 0.549; adjusted R² = 0.543. *** p&lt;0.01, ** p&lt;0.05, * p&lt;0.10.</w:t>
      </w:r>
    </w:p>
    <w:p>
      <w:r>
        <w:t>The permanent recreation infrastructure coefficient is -0.3297 and statistically insignificant, with a p-value of 0.726. In substantive terms, precincts within 500 meters of an included operating community center or Teen Life Center had an estimated 0.33 percentage-point lower 2025 turnout than otherwise similar precincts, but the confidence interval ranges from -2.18 to 1.52 percentage points. The result therefore provides no evidence of an independent recreation-infrastructure association under the main cross-sectional specification. Dropbox proximity is likewise insignificant in this controlled model.</w:t>
      </w:r>
    </w:p>
    <w:p>
      <w:pPr>
        <w:pStyle w:val="Heading1"/>
      </w:pPr>
      <w:r>
        <w:rPr>
          <w:color w:val="6A2E35"/>
        </w:rPr>
        <w:t>6. Interpretation and Comparison of the Two Models</w:t>
      </w:r>
    </w:p>
    <w:p>
      <w:r>
        <w:t>The two models tell different but compatible stories. The RNTS model suggests that mobile recreation activation may matter conditionally, especially when paired with nearby voting infrastructure. The permanent infrastructure model suggests that proximity to a long-standing recreation facility does not independently predict turnout once demographic and socioeconomic characteristics are controlled. This is not a contradiction. It is exactly what one might expect if mobile activation and durable infrastructure operate through different civic channels.</w:t>
      </w:r>
    </w:p>
    <w:p>
      <w:r>
        <w:t>RNTS is dynamic. It appears during the study window, brings visible programming into public space, and may create short-run municipal presence. That is why a turnout-change model is appropriate. The strongest RNTS finding is not that RNTS alone increased turnout. It is that the association of Dropbox access with turnout growth is larger where recent RNTS exposure is present. The model therefore supports a complementarity hypothesis: public-space activation and formal ballot access may be more powerful together than separately.</w:t>
      </w:r>
    </w:p>
    <w:p>
      <w:r>
        <w:t>Permanent recreation infrastructure is embedded. Community centers and Teen Life Centers are not new events. They are part of the existing neighborhood fabric. Their civic effects, if present, may be long-run, diffuse, and already absorbed by variables such as education, owner occupancy, residential stability, and neighborhood composition. In a controlled cross-section, the recreation-center coefficient estimates only the remaining association after those neighborhood features are held constant. It is therefore a narrow test of independent proximity, not a test of total civic contribution.</w:t>
      </w:r>
    </w:p>
    <w:p>
      <w:r>
        <w:t>This contrast also explains the Dropbox results. In the RNTS turnout-change model, Dropbox proximity is positive and statistically significant, and the Dropbox association is larger where RNTS is present. In the permanent infrastructure cross-section, Dropbox proximity is not significant after ACS controls. The difference arises because the RNTS model asks whether turnout growth changed between 2023 and 2025, while the permanent infrastructure model asks whether 2025 turnout levels differ after accounting for neighborhood structure. The same Dropbox variable can have different meanings under those designs.</w:t>
      </w:r>
    </w:p>
    <w:p>
      <w:r>
        <w:t>The combined result is therefore disciplined but not weak. It rejects an overly simplistic story that recreation automatically raises turnout. It supports a more realistic civic-infrastructure story: mobile recreation activation may amplify or coincide with formal civic access, while permanent recreation centers likely operate as part of the deeper social and institutional environment that is difficult to isolate with a single-year cross-section.</w:t>
      </w:r>
    </w:p>
    <w:p>
      <w:pPr>
        <w:pStyle w:val="Heading1"/>
      </w:pPr>
      <w:r>
        <w:rPr>
          <w:color w:val="6A2E35"/>
        </w:rPr>
        <w:t>7. Potential Mechanisms with Literature Anchors</w:t>
      </w:r>
    </w:p>
    <w:p>
      <w:pPr>
        <w:pStyle w:val="Heading2"/>
      </w:pPr>
      <w:r>
        <w:rPr>
          <w:color w:val="A51C30"/>
        </w:rPr>
        <w:t>7.1 Institutional visibility and government proximity</w:t>
      </w:r>
    </w:p>
    <w:p>
      <w:r>
        <w:t>RNTS may increase the visibility of local government in everyday life. Residents encounter city staff, equipment, programming, and public service delivery in familiar neighborhood spaces rather than only through offices, enforcement, or administrative systems. Civic voluntarism theory emphasizes that participation depends partly on engagement and recruitment, not only private resources (Verba, Schlozman, and Brady 1995; Brady, Verba, and Schlozman 1995). Public-facing recreation can plausibly serve as a low-pressure civic contact point that makes government feel more accessible and less abstract.</w:t>
      </w:r>
    </w:p>
    <w:p>
      <w:pPr>
        <w:pStyle w:val="Heading2"/>
      </w:pPr>
      <w:r>
        <w:rPr>
          <w:color w:val="A51C30"/>
        </w:rPr>
        <w:t>7.2 Social infrastructure and repeated weak-tie formation</w:t>
      </w:r>
    </w:p>
    <w:p>
      <w:r>
        <w:t>Recreation spaces and mobile activations may create weak ties among residents, families, staff, volunteers, and nearby institutions. Coleman (1988) and Putnam (2000) frame social capital as a resource created through networks, trust, and norms of reciprocity. Klinenberg (2018) argues that social infrastructure - the physical places and organizations that shape interaction - can strengthen community resilience and connection. RNTS and recreation centers fit this logic because they produce recurring public interaction without requiring formal membership or high-cost participation.</w:t>
      </w:r>
    </w:p>
    <w:p>
      <w:pPr>
        <w:pStyle w:val="Heading2"/>
      </w:pPr>
      <w:r>
        <w:rPr>
          <w:color w:val="A51C30"/>
        </w:rPr>
        <w:t>7.3 Public-space familiarity, safety, and neighborhood attachment</w:t>
      </w:r>
    </w:p>
    <w:p>
      <w:r>
        <w:t>Repeated use of parks, centers, and neighborhood gathering spaces can make public spaces feel more familiar, usable, and socially recognized. Oldenburg's third-place framework emphasizes the civic importance of informal gathering spaces outside home and work (Oldenburg 1989). Sampson, Raudenbush, and Earls (1997) show that social cohesion and collective efficacy are neighborhood-level resources linked to shared expectations and local capacity. Recreation programming may contribute to this ecology by making public spaces active, supervised, and socially legible.</w:t>
      </w:r>
    </w:p>
    <w:p>
      <w:pPr>
        <w:pStyle w:val="Heading2"/>
      </w:pPr>
      <w:r>
        <w:rPr>
          <w:color w:val="A51C30"/>
        </w:rPr>
        <w:t>7.4 Social image, civic norms, and participation cues</w:t>
      </w:r>
    </w:p>
    <w:p>
      <w:r>
        <w:t>Voting is shaped not only by material costs but also by social norms and reputational incentives. Gerber, Green, and Larimer (2008) show that social pressure can substantially increase turnout, while DellaVigna, List, Malmendier, and Rao (2017) emphasize that people may vote partly because they expect to be asked or observed by others. Recreation programming does not create direct voting pressure, but it may increase the density of local social contact. In areas where neighbors, staff, and public institutions are more visible, civic norms may become more salient.</w:t>
      </w:r>
    </w:p>
    <w:p>
      <w:pPr>
        <w:pStyle w:val="Heading2"/>
      </w:pPr>
      <w:r>
        <w:rPr>
          <w:color w:val="A51C30"/>
        </w:rPr>
        <w:t>7.5 Cost reduction through nearby ballot access</w:t>
      </w:r>
    </w:p>
    <w:p>
      <w:r>
        <w:t>The RNTS results are most consistent with a complementarity mechanism: recreation activation may create civic attachment or awareness, while a nearby Dropbox reduces the cost of converting that civic orientation into turnout. Classic turnout models treat participation as sensitive to costs and benefits (Downs 1957; Riker and Ordeshook 1968). Spatial election-administration research similarly shows that location and distance to voting infrastructure can affect participation and mode of voting (Haspel and Knotts 2005). The observed RNTS-Dropbox pattern fits this literature: civic atmosphere may matter most when the act of voting is physically convenient.</w:t>
      </w:r>
    </w:p>
    <w:p>
      <w:pPr>
        <w:pStyle w:val="Heading1"/>
      </w:pPr>
      <w:r>
        <w:rPr>
          <w:color w:val="6A2E35"/>
        </w:rPr>
        <w:t>8. Data Limitations, Robustness, and Reproducibility</w:t>
      </w:r>
    </w:p>
    <w:p>
      <w:r>
        <w:t>The combined study is intentionally transparent about its limitations. First, both models are based on precinct-level exposure, not individual-level participation. A resident in an RNTS-exposed precinct may never have attended RNTS; a resident outside the buffer may still have attended. Similarly, living near a community center does not mean using it. The exposure variables measure spatial opportunity and neighborhood public presence, not individual treatment receipt.</w:t>
      </w:r>
    </w:p>
    <w:p>
      <w:r>
        <w:t>Second, centroid-based assignment can misclassify exposure at boundaries. The centroid method is reproducible and compact, but it should be supplemented with polygon-intersection robustness checks. For RNTS, robustness can compare 200-meter buffers, 100-meter buffers, and point-treatment definitions. For permanent infrastructure, robustness can compare 500-meter centroid thresholds, 800-meter walking-access thresholds, and polygon intersection with facility buffers.</w:t>
      </w:r>
    </w:p>
    <w:p>
      <w:r>
        <w:t>Third, ACS controls are tract-level characteristics assigned to precincts. They improve model comparability, but they are not precinct-native measures. This creates measurement error where precincts and tracts do not align cleanly. The issue is acceptable for a research note but should be described plainly in any public-facing methodology. Future work could use block-group data or areal interpolation to improve geographic precision.</w:t>
      </w:r>
    </w:p>
    <w:p>
      <w:r>
        <w:t>Fourth, both RNTS and Dropbox locations are selected, not randomized. RNTS may be deployed to areas with distinct recreational need, operational feasibility, safety considerations, or community partnerships. Dropbox locations may reflect public-building availability, accessibility, and election-administration priorities. These selection processes can bias coefficients if they are correlated with unobserved turnout determinants.</w:t>
      </w:r>
    </w:p>
    <w:p>
      <w:r>
        <w:t>Fifth, the RNTS interaction group is relatively small. The positive interaction coefficient is substantively large but imprecise. That is why the marginal effects are suggestive rather than definitive. The point estimate supports a civic-infrastructure narrative, but the uncertainty requires caution.</w:t>
      </w:r>
    </w:p>
    <w:p>
      <w:r>
        <w:t>Sixth, the permanent infrastructure model may be over-controlled if recreation centers affect long-run neighborhood characteristics such as residential stability, attachment, or institutional trust. In that case, controlling for stability and ownership estimates a narrow direct association while removing part of the long-run pathway. This is not a mistake; it is a reminder that cross-sectional coefficients should not be interpreted as total institutional effects.</w:t>
      </w:r>
    </w:p>
    <w:p>
      <w:r>
        <w:t>Future robustness work should test the RNTS model with alternative buffers, precinct polygon intersection, registered-voter weighted and unweighted models, baseline-turnout controls, and sensitivity to excluding small precincts. The permanent infrastructure model should test RecInfra_Count_Within_500m for saturation, broader 800-meter buffers, community-centers-only specifications, and interaction with Dropbox proximity. If facility openings, closures, or renovations can be dated precisely, future work could convert permanent infrastructure from a cross-sectional civic-capacity model into a stronger quasi-experimental event-study or difference-in-differences design.</w:t>
      </w:r>
    </w:p>
    <w:p>
      <w:pPr>
        <w:pStyle w:val="Heading1"/>
      </w:pPr>
      <w:r>
        <w:rPr>
          <w:color w:val="6A2E35"/>
        </w:rPr>
        <w:t>9. Conclusion</w:t>
      </w:r>
    </w:p>
    <w:p>
      <w:r>
        <w:t>The combined evidence shows that recreation and civic participation cannot be reduced to a single coefficient or one theory of change. RNTS and permanent recreation infrastructure are both public recreation, but they are not the same institutional form. RNTS is mobile, visible, and time-bound. Permanent recreation infrastructure is fixed, durable, and embedded. The models therefore produce different empirical signals.</w:t>
      </w:r>
    </w:p>
    <w:p>
      <w:r>
        <w:t>In the RNTS turnout-change model, standalone RNTS exposure is not statistically significant. However, nearby Dropbox access is associated with higher turnout growth, and the estimated Dropbox association is substantially larger in precincts with recent RNTS exposure. This supports a conditional civic-infrastructure interpretation: public-space activation may matter most when paired with formal voting infrastructure that lowers the cost of participation.</w:t>
      </w:r>
    </w:p>
    <w:p>
      <w:r>
        <w:t>In the permanent recreation infrastructure model, being within 500 meters of an operating community center or Teen Life Center is not independently associated with 2025 turnout percentage after ACS controls. This does not mean that permanent recreation infrastructure lacks civic value. It means that, in a single-year cross-section, its independent proximity signal is not separable from neighborhood socioeconomic and demographic structure. Durable institutions may influence civic life through long-run pathways that are already embedded in the control variables.</w:t>
      </w:r>
    </w:p>
    <w:p>
      <w:r>
        <w:t>The contrast is the central finding. Mobile activation appears suggestively complementary with ballot access. Fixed recreation infrastructure appears civically embedded but not independently predictive in the controlled cross-section. Together, the analyses support a mature, cautious, and policy-relevant conclusion: public recreation should not be framed as a direct turnout intervention, but it may be part of the civic infrastructure that makes participation more likely when formal access points are visible, nearby, and easy to use.</w:t>
      </w:r>
    </w:p>
    <w:p>
      <w:r>
        <w:t>For Seattle Parks and Recreation and related civic institutions, the implication is not that recreation agencies should become election agencies. It is that public recreation may have spillover civic value when it strengthens public presence, trust, social connection, and neighborhood familiarity. The strongest future research design would combine spatial exposure, attendance or survey data, facility timing, and voting-access data to identify which mechanisms are actually operating. Until then, the present results provide a grounded research foundation: RNTS shows a suggestive interaction with ballot access, while permanent infrastructure shows the limits of cross-sectional proximity as an independent turnout predictor.</w:t>
      </w:r>
    </w:p>
    <w:p>
      <w:pPr>
        <w:pStyle w:val="Heading1"/>
      </w:pPr>
      <w:r>
        <w:rPr>
          <w:color w:val="6A2E35"/>
        </w:rPr>
        <w:t>References</w:t>
      </w:r>
    </w:p>
    <w:p>
      <w:pPr>
        <w:pStyle w:val="SmallText"/>
        <w:keepLines/>
        <w:spacing w:after="40" w:line="240" w:lineRule="auto"/>
        <w:ind w:left="360" w:hanging="360"/>
      </w:pPr>
      <w:r>
        <w:t>Angrist, J. D., &amp; Pischke, J.-S. (2009). Mostly Harmless Econometrics: An Empiricist's Companion. Princeton University Press.</w:t>
      </w:r>
    </w:p>
    <w:p>
      <w:pPr>
        <w:pStyle w:val="SmallText"/>
        <w:keepLines/>
        <w:spacing w:after="40" w:line="240" w:lineRule="auto"/>
        <w:ind w:left="360" w:hanging="360"/>
      </w:pPr>
      <w:r>
        <w:t>Brady, H. E., Verba, S., &amp; Schlozman, K. L. (1995). Beyond SES: A resource model of political participation. American Political Science Review, 89(2), 271-294.</w:t>
      </w:r>
    </w:p>
    <w:p>
      <w:pPr>
        <w:pStyle w:val="SmallText"/>
        <w:keepLines/>
        <w:spacing w:after="40" w:line="240" w:lineRule="auto"/>
        <w:ind w:left="360" w:hanging="360"/>
      </w:pPr>
      <w:r>
        <w:t>Coleman, J. S. (1988). Social capital in the creation of human capital. American Journal of Sociology, 94, S95-S120.</w:t>
      </w:r>
    </w:p>
    <w:p>
      <w:pPr>
        <w:pStyle w:val="SmallText"/>
        <w:keepLines/>
        <w:spacing w:after="40" w:line="240" w:lineRule="auto"/>
        <w:ind w:left="360" w:hanging="360"/>
      </w:pPr>
      <w:r>
        <w:t>DellaVigna, S., List, J. A., Malmendier, U., &amp; Rao, G. (2017). Voting to tell others. The Review of Economic Studies, 84(1), 143-181.</w:t>
      </w:r>
    </w:p>
    <w:p>
      <w:pPr>
        <w:pStyle w:val="SmallText"/>
        <w:keepLines/>
        <w:spacing w:after="40" w:line="240" w:lineRule="auto"/>
        <w:ind w:left="360" w:hanging="360"/>
      </w:pPr>
      <w:r>
        <w:t>Downs, A. (1957). An Economic Theory of Democracy. Harper.</w:t>
      </w:r>
    </w:p>
    <w:p>
      <w:pPr>
        <w:pStyle w:val="SmallText"/>
        <w:keepLines/>
        <w:spacing w:after="40" w:line="240" w:lineRule="auto"/>
        <w:ind w:left="360" w:hanging="360"/>
      </w:pPr>
      <w:r>
        <w:t>Gerber, A. S., Green, D. P., &amp; Larimer, C. W. (2008). Social pressure and voter turnout: Evidence from a large-scale field experiment. American Political Science Review, 102(1), 33-48.</w:t>
      </w:r>
    </w:p>
    <w:p>
      <w:pPr>
        <w:pStyle w:val="SmallText"/>
        <w:keepLines/>
        <w:spacing w:after="40" w:line="240" w:lineRule="auto"/>
        <w:ind w:left="360" w:hanging="360"/>
      </w:pPr>
      <w:r>
        <w:t>Haspel, M., &amp; Knotts, H. G. (2005). Location, location, location: Precinct placement and the costs of voting. Journal of Politics, 67(2), 560-573.</w:t>
      </w:r>
    </w:p>
    <w:p>
      <w:pPr>
        <w:pStyle w:val="SmallText"/>
        <w:keepLines/>
        <w:spacing w:after="40" w:line="240" w:lineRule="auto"/>
        <w:ind w:left="360" w:hanging="360"/>
      </w:pPr>
      <w:r>
        <w:t>Imbens, G. W., &amp; Wooldridge, J. M. (2009). Recent developments in the econometrics of program evaluation. Journal of Economic Literature, 47(1), 5-86.</w:t>
      </w:r>
    </w:p>
    <w:p>
      <w:pPr>
        <w:pStyle w:val="SmallText"/>
        <w:keepLines/>
        <w:spacing w:after="40" w:line="240" w:lineRule="auto"/>
        <w:ind w:left="360" w:hanging="360"/>
      </w:pPr>
      <w:r>
        <w:t>Keele, L. J., &amp; Titiunik, R. (2015). Geographic boundaries as regression discontinuities. Political Analysis, 23(1), 127-155.</w:t>
      </w:r>
    </w:p>
    <w:p>
      <w:pPr>
        <w:pStyle w:val="SmallText"/>
        <w:keepLines/>
        <w:spacing w:after="40" w:line="240" w:lineRule="auto"/>
        <w:ind w:left="360" w:hanging="360"/>
      </w:pPr>
      <w:r>
        <w:t>King County Elections. (2023). November 2023 General Election final precinct results.</w:t>
      </w:r>
    </w:p>
    <w:p>
      <w:pPr>
        <w:pStyle w:val="SmallText"/>
        <w:keepLines/>
        <w:spacing w:after="40" w:line="240" w:lineRule="auto"/>
        <w:ind w:left="360" w:hanging="360"/>
      </w:pPr>
      <w:r>
        <w:t>King County Elections. (2025). November 2025 General Election final precinct results.</w:t>
      </w:r>
    </w:p>
    <w:p>
      <w:pPr>
        <w:pStyle w:val="SmallText"/>
        <w:keepLines/>
        <w:spacing w:after="40" w:line="240" w:lineRule="auto"/>
        <w:ind w:left="360" w:hanging="360"/>
      </w:pPr>
      <w:r>
        <w:t>Klinenberg, E. (2018). Palaces for the People: How Social Infrastructure Can Help Fight Inequality, Polarization, and the Decline of Civic Life. Crown.</w:t>
      </w:r>
    </w:p>
    <w:p>
      <w:pPr>
        <w:pStyle w:val="SmallText"/>
        <w:keepLines/>
        <w:spacing w:after="40" w:line="240" w:lineRule="auto"/>
        <w:ind w:left="360" w:hanging="360"/>
      </w:pPr>
      <w:r>
        <w:t>Oldenburg, R. (1989). The Great Good Place. Paragon House.</w:t>
      </w:r>
    </w:p>
    <w:p>
      <w:pPr>
        <w:pStyle w:val="SmallText"/>
        <w:keepLines/>
        <w:spacing w:after="40" w:line="240" w:lineRule="auto"/>
        <w:ind w:left="360" w:hanging="360"/>
      </w:pPr>
      <w:r>
        <w:t>Openshaw, S. (1984). The Modifiable Areal Unit Problem. Geo Books.</w:t>
      </w:r>
    </w:p>
    <w:p>
      <w:pPr>
        <w:pStyle w:val="SmallText"/>
        <w:keepLines/>
        <w:spacing w:after="40" w:line="240" w:lineRule="auto"/>
        <w:ind w:left="360" w:hanging="360"/>
      </w:pPr>
      <w:r>
        <w:t>Putnam, R. D. (2000). Bowling Alone: The Collapse and Revival of American Community. Simon &amp; Schuster.</w:t>
      </w:r>
    </w:p>
    <w:p>
      <w:pPr>
        <w:pStyle w:val="SmallText"/>
        <w:keepLines/>
        <w:spacing w:after="40" w:line="240" w:lineRule="auto"/>
        <w:ind w:left="360" w:hanging="360"/>
      </w:pPr>
      <w:r>
        <w:t>Riker, W. H., &amp; Ordeshook, P. C. (1968). A theory of the calculus of voting. American Political Science Review, 62(1), 25-42.</w:t>
      </w:r>
    </w:p>
    <w:p>
      <w:pPr>
        <w:pStyle w:val="SmallText"/>
        <w:keepLines/>
        <w:spacing w:after="40" w:line="240" w:lineRule="auto"/>
        <w:ind w:left="360" w:hanging="360"/>
      </w:pPr>
      <w:r>
        <w:t>Robinson, W. S. (1950). Ecological correlations and the behavior of individuals. American Sociological Review, 15(3), 351-357.</w:t>
      </w:r>
    </w:p>
    <w:p>
      <w:pPr>
        <w:pStyle w:val="SmallText"/>
        <w:keepLines/>
        <w:spacing w:after="40" w:line="240" w:lineRule="auto"/>
        <w:ind w:left="360" w:hanging="360"/>
      </w:pPr>
      <w:r>
        <w:t>Sampson, R. J. (2012). Great American City: Chicago and the Enduring Neighborhood Effect. University of Chicago Press.</w:t>
      </w:r>
    </w:p>
    <w:p>
      <w:pPr>
        <w:pStyle w:val="SmallText"/>
        <w:keepLines/>
        <w:spacing w:after="40" w:line="240" w:lineRule="auto"/>
        <w:ind w:left="360" w:hanging="360"/>
      </w:pPr>
      <w:r>
        <w:t>Sampson, R. J., Raudenbush, S. W., &amp; Earls, F. (1997). Neighborhoods and violent crime: A multilevel study of collective efficacy. Science, 277(5328), 918-924.</w:t>
      </w:r>
    </w:p>
    <w:p>
      <w:pPr>
        <w:pStyle w:val="SmallText"/>
        <w:keepLines/>
        <w:spacing w:after="40" w:line="240" w:lineRule="auto"/>
        <w:ind w:left="360" w:hanging="360"/>
      </w:pPr>
      <w:r>
        <w:t>Seattle Parks and Recreation. RNTS park activation records, Fall 2023 through Summer 2025.</w:t>
      </w:r>
    </w:p>
    <w:p>
      <w:pPr>
        <w:pStyle w:val="SmallText"/>
        <w:keepLines/>
        <w:spacing w:after="40" w:line="240" w:lineRule="auto"/>
        <w:ind w:left="360" w:hanging="360"/>
      </w:pPr>
      <w:r>
        <w:t>Seattle Parks and Recreation. (2025/2026). Community Centers and Teen Life Centers.</w:t>
      </w:r>
    </w:p>
    <w:p>
      <w:pPr>
        <w:pStyle w:val="SmallText"/>
        <w:keepLines/>
        <w:spacing w:after="40" w:line="240" w:lineRule="auto"/>
        <w:ind w:left="360" w:hanging="360"/>
      </w:pPr>
      <w:r>
        <w:t>U.S. Census Bureau. American Community Survey 5-year estimates and TIGER/Line spatial files.</w:t>
      </w:r>
    </w:p>
    <w:p>
      <w:pPr>
        <w:pStyle w:val="SmallText"/>
        <w:keepLines/>
        <w:spacing w:after="40" w:line="240" w:lineRule="auto"/>
        <w:ind w:left="360" w:hanging="360"/>
      </w:pPr>
      <w:r>
        <w:t>Verba, S., Schlozman, K. L., &amp; Brady, H. E. (1995). Voice and Equality: Civic Voluntarism in American Politics. Harvard University Press.</w:t>
      </w:r>
    </w:p>
    <w:p>
      <w:pPr>
        <w:pStyle w:val="SmallText"/>
        <w:keepLines/>
        <w:spacing w:after="40" w:line="240" w:lineRule="auto"/>
        <w:ind w:left="360" w:hanging="360"/>
      </w:pPr>
      <w:r>
        <w:t>Washington Secretary of State. 2023 and 2025 General Election precinct shapefiles.</w:t>
      </w:r>
    </w:p>
    <w:sectPr w:rsidR="00FC693F" w:rsidRPr="0006063C" w:rsidSect="00034616">
      <w:footerReference w:type="default" r:id="rId9"/>
      <w:headerReference w:type="default" r:id="rId13"/>
      <w:pgSz w:w="12240" w:h="15840"/>
      <w:pgMar w:top="1584" w:right="1080" w:bottom="936" w:left="1080" w:header="346"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655"/>
        <w:sz w:val="16"/>
      </w:rPr>
      <w:t>RNTS Civic Engagement Study | Combined recreation infrastructure analysis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Borders>
        <w:top w:val="nil"/>
        <w:left w:val="nil"/>
        <w:bottom w:val="single" w:sz="5" w:color="A8864B"/>
        <w:right w:val="nil"/>
        <w:insideH w:val="nil"/>
        <w:insideV w:val="nil"/>
      </w:tblBorders>
      <w:tblInd w:w="0" w:type="dxa"/>
    </w:tblPr>
    <w:tblGrid>
      <w:gridCol w:w="2880"/>
      <w:gridCol w:w="4320"/>
      <w:gridCol w:w="2880"/>
    </w:tblGrid>
    <w:tr>
      <w:trPr>
        <w:cantSplit/>
      </w:trPr>
      <w:tc>
        <w:tcPr>
          <w:tcW w:type="dxa" w:w="2880"/>
          <w:vAlign w:val="center"/>
          <w:tcMar>
            <w:top w:w="0" w:type="dxa"/>
            <w:left w:w="0" w:type="dxa"/>
            <w:bottom w:w="45" w:type="dxa"/>
            <w:right w:w="0" w:type="dxa"/>
          </w:tcMar>
        </w:tcPr>
        <w:p>
          <w:pPr>
            <w:keepNext w:val="0"/>
            <w:keepLines w:val="0"/>
            <w:spacing w:before="0" w:after="0" w:line="240" w:lineRule="auto"/>
            <w:jc w:val="center"/>
          </w:pPr>
          <w:r>
            <w:drawing>
              <wp:inline xmlns:a="http://schemas.openxmlformats.org/drawingml/2006/main" xmlns:pic="http://schemas.openxmlformats.org/drawingml/2006/picture">
                <wp:extent cx="528523" cy="528523"/>
                <wp:docPr id="1" name="Picture 1" title="City of Seattle emblem and Seattle wordmark" descr="City of Seattle emblem and Seattle wordmark"/>
                <wp:cNvGraphicFramePr>
                  <a:graphicFrameLocks noChangeAspect="1"/>
                </wp:cNvGraphicFramePr>
                <a:graphic>
                  <a:graphicData uri="http://schemas.openxmlformats.org/drawingml/2006/picture">
                    <pic:pic>
                      <pic:nvPicPr>
                        <pic:cNvPr id="0" name="seattle_mark.png"/>
                        <pic:cNvPicPr/>
                      </pic:nvPicPr>
                      <pic:blipFill>
                        <a:blip r:embed="rId1"/>
                        <a:stretch>
                          <a:fillRect/>
                        </a:stretch>
                      </pic:blipFill>
                      <pic:spPr>
                        <a:xfrm>
                          <a:off x="0" y="0"/>
                          <a:ext cx="528523" cy="528523"/>
                        </a:xfrm>
                        <a:prstGeom prst="rect"/>
                      </pic:spPr>
                    </pic:pic>
                  </a:graphicData>
                </a:graphic>
              </wp:inline>
            </w:drawing>
          </w:r>
        </w:p>
        <w:p>
          <w:pPr>
            <w:keepNext w:val="0"/>
            <w:keepLines w:val="0"/>
            <w:spacing w:before="0" w:after="0" w:line="240" w:lineRule="auto"/>
            <w:jc w:val="center"/>
          </w:pPr>
          <w:r>
            <w:rPr>
              <w:rFonts w:ascii="Arial" w:hAnsi="Arial"/>
              <w:sz w:val="16"/>
            </w:rPr>
            <w:t>Parks &amp; Recreation</w:t>
          </w:r>
        </w:p>
      </w:tc>
      <w:tc>
        <w:tcPr>
          <w:tcW w:type="dxa" w:w="4320"/>
          <w:vAlign w:val="center"/>
          <w:tcMar>
            <w:top w:w="0" w:type="dxa"/>
            <w:left w:w="0" w:type="dxa"/>
            <w:bottom w:w="45" w:type="dxa"/>
            <w:right w:w="0" w:type="dxa"/>
          </w:tcMar>
        </w:tcPr>
        <w:p>
          <w:pPr>
            <w:keepNext w:val="0"/>
            <w:keepLines w:val="0"/>
            <w:spacing w:before="0" w:after="0" w:line="240" w:lineRule="auto"/>
            <w:jc w:val="center"/>
          </w:pPr>
          <w:r>
            <w:drawing>
              <wp:inline xmlns:a="http://schemas.openxmlformats.org/drawingml/2006/main" xmlns:pic="http://schemas.openxmlformats.org/drawingml/2006/picture">
                <wp:extent cx="2137410" cy="655874"/>
                <wp:docPr id="2" name="Picture 2" title="Edict Economics" descr="Edict Economics gold shield and crimson wordmark"/>
                <wp:cNvGraphicFramePr>
                  <a:graphicFrameLocks noChangeAspect="1"/>
                </wp:cNvGraphicFramePr>
                <a:graphic>
                  <a:graphicData uri="http://schemas.openxmlformats.org/drawingml/2006/picture">
                    <pic:pic>
                      <pic:nvPicPr>
                        <pic:cNvPr id="0" name="edict_gold_crimson_lockup.png"/>
                        <pic:cNvPicPr/>
                      </pic:nvPicPr>
                      <pic:blipFill>
                        <a:blip r:embed="rId2"/>
                        <a:stretch>
                          <a:fillRect/>
                        </a:stretch>
                      </pic:blipFill>
                      <pic:spPr>
                        <a:xfrm>
                          <a:off x="0" y="0"/>
                          <a:ext cx="2137410" cy="655874"/>
                        </a:xfrm>
                        <a:prstGeom prst="rect"/>
                      </pic:spPr>
                    </pic:pic>
                  </a:graphicData>
                </a:graphic>
              </wp:inline>
            </w:drawing>
          </w:r>
        </w:p>
      </w:tc>
      <w:tc>
        <w:tcPr>
          <w:tcW w:type="dxa" w:w="2880"/>
          <w:vAlign w:val="center"/>
          <w:tcMar>
            <w:top w:w="0" w:type="dxa"/>
            <w:left w:w="0" w:type="dxa"/>
            <w:bottom w:w="45" w:type="dxa"/>
            <w:right w:w="0" w:type="dxa"/>
          </w:tcMar>
        </w:tcPr>
        <w:p>
          <w:pPr>
            <w:keepNext w:val="0"/>
            <w:keepLines w:val="0"/>
            <w:spacing w:before="0" w:after="0" w:line="240" w:lineRule="auto"/>
            <w:jc w:val="center"/>
          </w:pPr>
          <w:r>
            <w:drawing>
              <wp:inline xmlns:a="http://schemas.openxmlformats.org/drawingml/2006/main" xmlns:pic="http://schemas.openxmlformats.org/drawingml/2006/picture">
                <wp:extent cx="497434" cy="480666"/>
                <wp:docPr id="3" name="Picture 3" title="King County emblem" descr="King County emblem"/>
                <wp:cNvGraphicFramePr>
                  <a:graphicFrameLocks noChangeAspect="1"/>
                </wp:cNvGraphicFramePr>
                <a:graphic>
                  <a:graphicData uri="http://schemas.openxmlformats.org/drawingml/2006/picture">
                    <pic:pic>
                      <pic:nvPicPr>
                        <pic:cNvPr id="0" name="king_county_mark.png"/>
                        <pic:cNvPicPr/>
                      </pic:nvPicPr>
                      <pic:blipFill>
                        <a:blip r:embed="rId3"/>
                        <a:stretch>
                          <a:fillRect/>
                        </a:stretch>
                      </pic:blipFill>
                      <pic:spPr>
                        <a:xfrm>
                          <a:off x="0" y="0"/>
                          <a:ext cx="497434" cy="480666"/>
                        </a:xfrm>
                        <a:prstGeom prst="rect"/>
                      </pic:spPr>
                    </pic:pic>
                  </a:graphicData>
                </a:graphic>
              </wp:inline>
            </w:drawing>
          </w:r>
        </w:p>
        <w:p>
          <w:pPr>
            <w:keepNext w:val="0"/>
            <w:keepLines w:val="0"/>
            <w:spacing w:before="0" w:after="0" w:line="240" w:lineRule="auto"/>
            <w:jc w:val="center"/>
          </w:pPr>
          <w:r>
            <w:rPr>
              <w:rFonts w:ascii="Arial" w:hAnsi="Arial"/>
              <w:b/>
              <w:sz w:val="19"/>
            </w:rPr>
            <w:t>King County</w:t>
          </w:r>
        </w:p>
      </w:tc>
    </w:tr>
  </w:tbl>
  <w:p>
    <w:pPr>
      <w:spacing w:before="0" w:after="0" w:line="2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2" w:lineRule="auto"/>
    </w:pPr>
    <w:rPr>
      <w:rFonts w:ascii="Aptos" w:hAnsi="Aptos" w:eastAsia="Aptos"/>
      <w:color w:val="292929"/>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eastAsia="Aptos Display"/>
      <w:b/>
      <w:bCs/>
      <w:color w:val="6A2E35"/>
      <w:sz w:val="31"/>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w:hAnsi="Aptos" w:eastAsia="Aptos"/>
      <w:b/>
      <w:bCs/>
      <w:color w:val="A51C30"/>
      <w:sz w:val="25"/>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w:hAnsi="Aptos" w:eastAsia="Aptos"/>
      <w:b/>
      <w:bCs/>
      <w:color w:val="A51C3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A8864B"/>
      </w:pBdr>
      <w:spacing w:after="100" w:line="240" w:lineRule="auto" w:before="200"/>
      <w:contextualSpacing/>
    </w:pPr>
    <w:rPr>
      <w:rFonts w:asciiTheme="majorHAnsi" w:eastAsiaTheme="majorEastAsia" w:hAnsiTheme="majorHAnsi" w:cstheme="majorBidi" w:ascii="Aptos Display" w:hAnsi="Aptos Display" w:eastAsia="Aptos Display"/>
      <w:b/>
      <w:color w:val="4B1F2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595655"/>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6A2E3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pPr>
      <w:spacing w:after="160" w:before="100"/>
      <w:jc w:val="center"/>
    </w:pPr>
    <w:rPr>
      <w:rFonts w:ascii="Cambria Math" w:hAnsi="Cambria Math" w:eastAsia="Cambria Math"/>
      <w:color w:val="6A2E35"/>
      <w:sz w:val="24"/>
    </w:rPr>
  </w:style>
  <w:style w:type="paragraph" w:customStyle="1" w:styleId="SmallText">
    <w:name w:val="SmallText"/>
    <w:pPr>
      <w:spacing w:after="60"/>
    </w:pPr>
    <w:rPr>
      <w:rFonts w:ascii="Aptos" w:hAnsi="Aptos" w:eastAsia="Aptos"/>
      <w:color w:val="292929"/>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3"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A51C30"/>
      </a:accent1>
      <a:accent2>
        <a:srgbClr val="A8864B"/>
      </a:accent2>
      <a:accent3>
        <a:srgbClr val="6A2E35"/>
      </a:accent3>
      <a:accent4>
        <a:srgbClr val="595655"/>
      </a:accent4>
      <a:accent5>
        <a:srgbClr val="4B1F29"/>
      </a:accent5>
      <a:accent6>
        <a:srgbClr val="CCB68D"/>
      </a:accent6>
      <a:hlink>
        <a:srgbClr val="A51C30"/>
      </a:hlink>
      <a:folHlink>
        <a:srgbClr val="6A2E35"/>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Benjamin Scott</Manager>
  <Company>Seattle Parks and Recreation</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Recreation, Ballot Access, and Local Civic Participation</dc:title>
  <dc:subject>RNTS Civic Engagement Study</dc:subject>
  <dc:creator>Benjamin Scott</dc:creator>
  <cp:keywords>RNTS; Seattle Parks and Recreation; voter turnout; civic participation; recreation infrastructure</cp:keywords>
  <dc:description>Prepared on behalf of Seattle Parks and Recreation.</dc:description>
  <cp:lastModifiedBy>Benjamin Scott</cp:lastModifiedBy>
  <cp:revision>1</cp:revision>
  <dcterms:created xsi:type="dcterms:W3CDTF">2026-06-08T20:44:54Z</dcterms:created>
  <dcterms:modified xsi:type="dcterms:W3CDTF">2026-06-08T20:44:54Z</dcterms:modified>
  <cp:category>Research note</cp:category>
</cp:coreProperties>
</file>