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yebrow"/>
        <w:spacing w:after="120"/>
      </w:pPr>
      <w:r>
        <w:t>POLICY BRIEF  /  HABITAT ACQUISITION</w:t>
      </w:r>
    </w:p>
    <w:p>
      <w:pPr>
        <w:pStyle w:val="Title"/>
        <w:pBdr>
          <w:bottom w:val="single" w:sz="8" w:color="A8864B" w:space="6"/>
        </w:pBdr>
        <w:spacing w:after="80"/>
      </w:pPr>
      <w:r>
        <w:rPr>
          <w:color w:val="4E2027"/>
        </w:rPr>
        <w:t>Protecting western gray squirrel</w:t>
        <w:br/>
        <w:t>habitat in Klickitat County</w:t>
      </w:r>
    </w:p>
    <w:p>
      <w:pPr>
        <w:pStyle w:val="Subtitle"/>
        <w:spacing w:after="80"/>
      </w:pPr>
      <w:r>
        <w:t>What the $18 million and $50 million scenarios show</w:t>
      </w:r>
    </w:p>
    <w:p>
      <w:pPr>
        <w:pStyle w:val="SourceNote"/>
        <w:spacing w:after="60"/>
      </w:pPr>
      <w:r>
        <w:t>Benny Scott  |  Edict Economics  |  19 September 2026</w:t>
      </w:r>
    </w:p>
    <w:p>
      <w:pPr>
        <w:pStyle w:val="SourceNote"/>
        <w:keepNext/>
        <w:spacing w:before="0" w:after="60"/>
      </w:pPr>
      <w:r>
        <w:rPr>
          <w:rFonts w:ascii="Calibri" w:hAnsi="Calibri"/>
          <w:i w:val="0"/>
          <w:color w:val="5B6268"/>
          <w:sz w:val="16"/>
        </w:rPr>
        <w:t>Prepared for consideration by the Washington Department of Fish and Wildlife</w:t>
      </w:r>
    </w:p>
    <w:p>
      <w:pPr>
        <w:pStyle w:val="SourceNote"/>
        <w:keepNext/>
        <w:spacing w:before="0" w:after="60"/>
      </w:pPr>
      <w:r>
        <w:rPr>
          <w:rFonts w:ascii="Calibri" w:hAnsi="Calibri"/>
          <w:i/>
          <w:color w:val="5B6268"/>
          <w:sz w:val="16"/>
        </w:rPr>
        <w:t>Independent Edict Economics research.</w:t>
      </w:r>
    </w:p>
    <w:p>
      <w:pPr>
        <w:pStyle w:val="Heading2"/>
        <w:spacing w:before="160"/>
      </w:pPr>
      <w:r>
        <w:rPr>
          <w:color w:val="6A2E35"/>
        </w:rPr>
        <w:t>Executive summary</w:t>
      </w:r>
    </w:p>
    <w:p>
      <w:pPr>
        <w:spacing w:after="80"/>
      </w:pPr>
      <w:r>
        <w:t xml:space="preserve">A parcel line tells us who owns a piece of forest. It does not tell us where habitat begins or ends. This study brings those two maps together: </w:t>
      </w:r>
      <w:r>
        <w:rPr>
          <w:b/>
        </w:rPr>
        <w:t>what land could be acquired, and how much connected potential habitat lies within it?</w:t>
      </w:r>
      <w:r>
        <w:t xml:space="preserve"> The answer depends not only on the budget, but on the evidence used to locate western gray squirrels. </w:t>
      </w:r>
      <w:r>
        <w:rPr>
          <w:color w:val="5B6268"/>
          <w:sz w:val="18"/>
        </w:rPr>
        <w:t>[1, pp. 2–4]</w:t>
      </w:r>
    </w:p>
    <w:p>
      <w:pPr>
        <w:keepLines/>
        <w:spacing w:after="80"/>
      </w:pPr>
      <w:r>
        <w:t xml:space="preserve">Within the portfolio based on 2018–2020 records, </w:t>
      </w:r>
      <w:r>
        <w:rPr>
          <w:b/>
          <w:color w:val="6A2E35"/>
        </w:rPr>
        <w:t>three parcels contain 58 acres of credited habitat—half the fifteen-parcel total—at an estimated initial cost below $1 million.</w:t>
      </w:r>
      <w:r>
        <w:t xml:space="preserve"> This gives decision-makers a concrete starting package to investigate through field surveys, seller outreach, and appraisal. </w:t>
      </w:r>
      <w:r>
        <w:rPr>
          <w:color w:val="5B6268"/>
          <w:sz w:val="18"/>
        </w:rPr>
        <w:t>[1, p. 8]</w:t>
      </w:r>
    </w:p>
    <w:p>
      <w:pPr>
        <w:spacing w:after="80"/>
      </w:pPr>
      <w:r>
        <w:t xml:space="preserve">Using the full historical occurrence record, the model identifies </w:t>
      </w:r>
      <w:r>
        <w:rPr>
          <w:b/>
        </w:rPr>
        <w:t>45 parcels under an $18 million ceiling</w:t>
      </w:r>
      <w:r>
        <w:t xml:space="preserve"> and </w:t>
      </w:r>
      <w:r>
        <w:rPr>
          <w:b/>
        </w:rPr>
        <w:t>124 under a $50 million ceiling</w:t>
      </w:r>
      <w:r>
        <w:t xml:space="preserve">. They contain </w:t>
      </w:r>
      <w:r>
        <w:rPr>
          <w:color w:val="6A2E35"/>
        </w:rPr>
        <w:t>2,055.06 and 3,306.38 acres</w:t>
      </w:r>
      <w:r>
        <w:t xml:space="preserve"> of connected, remotely screened potential primary habitat. Using only the 2018–2020 records produces a different result: </w:t>
      </w:r>
      <w:r>
        <w:rPr>
          <w:color w:val="6A2E35"/>
        </w:rPr>
        <w:t>15 parcels and 115.09</w:t>
      </w:r>
      <w:r>
        <w:t xml:space="preserve"> credited habitat acres under either ceiling. </w:t>
      </w:r>
      <w:r>
        <w:rPr>
          <w:color w:val="5B6268"/>
          <w:sz w:val="18"/>
        </w:rPr>
        <w:t>[1, Table 1]</w:t>
      </w:r>
    </w:p>
    <w:p>
      <w:pPr>
        <w:pStyle w:val="Caption"/>
        <w:spacing w:after="80"/>
      </w:pPr>
      <w:r>
        <w:rPr>
          <w:b/>
          <w:color w:val="A51C30"/>
        </w:rPr>
        <w:t>Table 1.</w:t>
      </w:r>
      <w:r>
        <w:t xml:space="preserve"> Whole-parcel portfolios reported in the revised paper</w:t>
      </w:r>
    </w:p>
    <w:tbl>
      <w:tblPr>
        <w:tblW w:type="auto" w:w="0"/>
        <w:jc w:val="center"/>
        <w:tblLayout w:type="fixed"/>
        <w:tblLook w:firstColumn="1" w:firstRow="1" w:lastColumn="0" w:lastRow="0" w:noHBand="0" w:noVBand="1" w:val="04A0"/>
        <w:tblBorders>
          <w:top w:val="nil" w:sz="4" w:color="D7CDCA"/>
          <w:left w:val="nil" w:sz="4" w:color="D7CDCA"/>
          <w:bottom w:val="single" w:sz="4" w:color="D7CDCA"/>
          <w:right w:val="nil" w:sz="4" w:color="D7CDCA"/>
          <w:insideH w:val="single" w:sz="4" w:color="D7CDCA"/>
          <w:insideV w:val="nil" w:sz="4" w:color="D7CDCA"/>
        </w:tblBorders>
        <w:tblCellMar>
          <w:top w:w="85" w:type="dxa"/>
          <w:bottom w:w="85" w:type="dxa"/>
          <w:left w:w="100" w:type="dxa"/>
          <w:right w:w="100" w:type="dxa"/>
        </w:tblCellMar>
        <w:tblCaption w:val="Occurrence evidence / ceiling"/>
      </w:tblPr>
      <w:tblGrid>
        <w:gridCol w:w="3082"/>
        <w:gridCol w:w="792"/>
        <w:gridCol w:w="1656"/>
        <w:gridCol w:w="1512"/>
        <w:gridCol w:w="2952"/>
      </w:tblGrid>
      <w:tr>
        <w:trPr>
          <w:tblHeader/>
        </w:trPr>
        <w:tc>
          <w:tcPr>
            <w:tcW w:type="dxa" w:w="3082"/>
            <w:vAlign w:val="center"/>
            <w:shd w:fill="6A2E35" w:val="clear" w:color="auto"/>
            <w:tcBorders>
              <w:bottom w:val="single" w:sz="10" w:color="A8864B" w:space="0"/>
            </w:tcBorders>
          </w:tcPr>
          <w:p>
            <w:pPr>
              <w:spacing w:after="0" w:line="240" w:lineRule="auto"/>
            </w:pPr>
            <w:r>
              <w:rPr>
                <w:b/>
                <w:color w:val="FFFFFF"/>
                <w:sz w:val="20"/>
              </w:rPr>
              <w:t>Occurrence evidence / ceiling</w:t>
            </w:r>
          </w:p>
        </w:tc>
        <w:tc>
          <w:tcPr>
            <w:tcW w:type="dxa" w:w="792"/>
            <w:vAlign w:val="center"/>
            <w:shd w:fill="6A2E35" w:val="clear" w:color="auto"/>
            <w:tcBorders>
              <w:bottom w:val="single" w:sz="10" w:color="A8864B" w:space="0"/>
            </w:tcBorders>
          </w:tcPr>
          <w:p>
            <w:pPr>
              <w:spacing w:after="0" w:line="240" w:lineRule="auto"/>
            </w:pPr>
            <w:r>
              <w:rPr>
                <w:b/>
                <w:color w:val="FFFFFF"/>
                <w:sz w:val="20"/>
              </w:rPr>
              <w:t>Parcels</w:t>
            </w:r>
          </w:p>
        </w:tc>
        <w:tc>
          <w:tcPr>
            <w:tcW w:type="dxa" w:w="1656"/>
            <w:vAlign w:val="center"/>
            <w:shd w:fill="6A2E35" w:val="clear" w:color="auto"/>
            <w:tcBorders>
              <w:bottom w:val="single" w:sz="10" w:color="A8864B" w:space="0"/>
            </w:tcBorders>
          </w:tcPr>
          <w:p>
            <w:pPr>
              <w:spacing w:after="0" w:line="240" w:lineRule="auto"/>
            </w:pPr>
            <w:r>
              <w:rPr>
                <w:b/>
                <w:color w:val="FFFFFF"/>
                <w:sz w:val="20"/>
              </w:rPr>
              <w:t>Mapped land</w:t>
              <w:br/>
              <w:t>acres</w:t>
            </w:r>
          </w:p>
        </w:tc>
        <w:tc>
          <w:tcPr>
            <w:tcW w:type="dxa" w:w="1512"/>
            <w:vAlign w:val="center"/>
            <w:shd w:fill="6A2E35" w:val="clear" w:color="auto"/>
            <w:tcBorders>
              <w:bottom w:val="single" w:sz="10" w:color="A8864B" w:space="0"/>
            </w:tcBorders>
          </w:tcPr>
          <w:p>
            <w:pPr>
              <w:spacing w:after="0" w:line="240" w:lineRule="auto"/>
            </w:pPr>
            <w:r>
              <w:rPr>
                <w:b/>
                <w:color w:val="FFFFFF"/>
                <w:sz w:val="20"/>
              </w:rPr>
              <w:t>Initial</w:t>
              <w:br/>
              <w:t>cost</w:t>
            </w:r>
          </w:p>
        </w:tc>
        <w:tc>
          <w:tcPr>
            <w:tcW w:type="dxa" w:w="2952"/>
            <w:vAlign w:val="center"/>
            <w:shd w:fill="4E2027" w:val="clear" w:color="auto"/>
            <w:tcBorders>
              <w:bottom w:val="single" w:sz="10" w:color="A8864B" w:space="0"/>
            </w:tcBorders>
          </w:tcPr>
          <w:p>
            <w:pPr>
              <w:spacing w:after="0" w:line="240" w:lineRule="auto"/>
            </w:pPr>
            <w:r>
              <w:rPr>
                <w:b/>
                <w:color w:val="FFFFFF"/>
                <w:sz w:val="20"/>
              </w:rPr>
              <w:t>Credited</w:t>
              <w:br/>
              <w:t>habitat acres</w:t>
            </w:r>
          </w:p>
        </w:tc>
      </w:tr>
      <w:tr>
        <w:trPr>
          <w:cantSplit/>
        </w:trPr>
        <w:tc>
          <w:tcPr>
            <w:tcW w:type="dxa" w:w="3082"/>
            <w:vAlign w:val="center"/>
            <w:shd w:fill="F6F2E9" w:val="clear" w:color="auto"/>
          </w:tcPr>
          <w:p>
            <w:pPr>
              <w:spacing w:after="0" w:line="245" w:lineRule="auto"/>
            </w:pPr>
            <w:r>
              <w:rPr>
                <w:color w:val="252A28"/>
                <w:sz w:val="20"/>
              </w:rPr>
              <w:t>Historical / $18 million</w:t>
            </w:r>
          </w:p>
        </w:tc>
        <w:tc>
          <w:tcPr>
            <w:tcW w:type="dxa" w:w="792"/>
            <w:vAlign w:val="center"/>
            <w:shd w:fill="F6F2E9" w:val="clear" w:color="auto"/>
          </w:tcPr>
          <w:p>
            <w:pPr>
              <w:spacing w:after="0" w:line="245" w:lineRule="auto"/>
              <w:jc w:val="right"/>
            </w:pPr>
            <w:r>
              <w:rPr>
                <w:color w:val="252A28"/>
                <w:sz w:val="20"/>
              </w:rPr>
              <w:t>45</w:t>
            </w:r>
          </w:p>
        </w:tc>
        <w:tc>
          <w:tcPr>
            <w:tcW w:type="dxa" w:w="1656"/>
            <w:vAlign w:val="center"/>
            <w:shd w:fill="F6F2E9" w:val="clear" w:color="auto"/>
          </w:tcPr>
          <w:p>
            <w:pPr>
              <w:spacing w:after="0" w:line="245" w:lineRule="auto"/>
              <w:jc w:val="right"/>
            </w:pPr>
            <w:r>
              <w:rPr>
                <w:color w:val="252A28"/>
                <w:sz w:val="20"/>
              </w:rPr>
              <w:t>8,739.26</w:t>
            </w:r>
          </w:p>
        </w:tc>
        <w:tc>
          <w:tcPr>
            <w:tcW w:type="dxa" w:w="1512"/>
            <w:vAlign w:val="center"/>
            <w:shd w:fill="F6F2E9" w:val="clear" w:color="auto"/>
          </w:tcPr>
          <w:p>
            <w:pPr>
              <w:spacing w:after="0" w:line="245" w:lineRule="auto"/>
              <w:jc w:val="right"/>
            </w:pPr>
            <w:r>
              <w:rPr>
                <w:color w:val="252A28"/>
                <w:sz w:val="20"/>
              </w:rPr>
              <w:t>$16.19m</w:t>
            </w:r>
          </w:p>
        </w:tc>
        <w:tc>
          <w:tcPr>
            <w:tcW w:type="dxa" w:w="2952"/>
            <w:vAlign w:val="center"/>
            <w:shd w:fill="F3E9DA" w:val="clear" w:color="auto"/>
          </w:tcPr>
          <w:p>
            <w:pPr>
              <w:spacing w:after="0" w:line="245" w:lineRule="auto"/>
              <w:jc w:val="right"/>
            </w:pPr>
            <w:r>
              <w:rPr>
                <w:b/>
                <w:color w:val="A51C30"/>
                <w:sz w:val="20"/>
              </w:rPr>
              <w:t>2,055.06</w:t>
            </w:r>
          </w:p>
        </w:tc>
      </w:tr>
      <w:tr>
        <w:trPr>
          <w:cantSplit/>
        </w:trPr>
        <w:tc>
          <w:tcPr>
            <w:tcW w:type="dxa" w:w="3082"/>
            <w:vAlign w:val="center"/>
            <w:shd w:val="clear" w:color="auto" w:fill="FFFFFF"/>
          </w:tcPr>
          <w:p>
            <w:pPr>
              <w:spacing w:after="0" w:line="245" w:lineRule="auto"/>
            </w:pPr>
            <w:r>
              <w:rPr>
                <w:color w:val="252A28"/>
                <w:sz w:val="20"/>
              </w:rPr>
              <w:t>Historical / $50 million</w:t>
            </w:r>
          </w:p>
        </w:tc>
        <w:tc>
          <w:tcPr>
            <w:tcW w:type="dxa" w:w="792"/>
            <w:vAlign w:val="center"/>
            <w:shd w:val="clear" w:color="auto" w:fill="FFFFFF"/>
          </w:tcPr>
          <w:p>
            <w:pPr>
              <w:spacing w:after="0" w:line="245" w:lineRule="auto"/>
              <w:jc w:val="right"/>
            </w:pPr>
            <w:r>
              <w:rPr>
                <w:color w:val="252A28"/>
                <w:sz w:val="20"/>
              </w:rPr>
              <w:t>124</w:t>
            </w:r>
          </w:p>
        </w:tc>
        <w:tc>
          <w:tcPr>
            <w:tcW w:type="dxa" w:w="1656"/>
            <w:vAlign w:val="center"/>
            <w:shd w:val="clear" w:color="auto" w:fill="FFFFFF"/>
          </w:tcPr>
          <w:p>
            <w:pPr>
              <w:spacing w:after="0" w:line="245" w:lineRule="auto"/>
              <w:jc w:val="right"/>
            </w:pPr>
            <w:r>
              <w:rPr>
                <w:color w:val="252A28"/>
                <w:sz w:val="20"/>
              </w:rPr>
              <w:t>19,672.37</w:t>
            </w:r>
          </w:p>
        </w:tc>
        <w:tc>
          <w:tcPr>
            <w:tcW w:type="dxa" w:w="1512"/>
            <w:vAlign w:val="center"/>
            <w:shd w:val="clear" w:color="auto" w:fill="FFFFFF"/>
          </w:tcPr>
          <w:p>
            <w:pPr>
              <w:spacing w:after="0" w:line="245" w:lineRule="auto"/>
              <w:jc w:val="right"/>
            </w:pPr>
            <w:r>
              <w:rPr>
                <w:color w:val="252A28"/>
                <w:sz w:val="20"/>
              </w:rPr>
              <w:t>$44.98m</w:t>
            </w:r>
          </w:p>
        </w:tc>
        <w:tc>
          <w:tcPr>
            <w:tcW w:type="dxa" w:w="2952"/>
            <w:vAlign w:val="center"/>
            <w:shd w:val="clear" w:color="auto" w:fill="FCF7EF"/>
          </w:tcPr>
          <w:p>
            <w:pPr>
              <w:spacing w:after="0" w:line="245" w:lineRule="auto"/>
              <w:jc w:val="right"/>
            </w:pPr>
            <w:r>
              <w:rPr>
                <w:b/>
                <w:color w:val="A51C30"/>
                <w:sz w:val="20"/>
              </w:rPr>
              <w:t>3,306.38</w:t>
            </w:r>
          </w:p>
        </w:tc>
      </w:tr>
      <w:tr>
        <w:trPr>
          <w:cantSplit/>
        </w:trPr>
        <w:tc>
          <w:tcPr>
            <w:tcW w:type="dxa" w:w="3082"/>
            <w:vAlign w:val="center"/>
            <w:shd w:fill="F6F2E9" w:val="clear" w:color="auto"/>
          </w:tcPr>
          <w:p>
            <w:pPr>
              <w:spacing w:after="0" w:line="245" w:lineRule="auto"/>
            </w:pPr>
            <w:r>
              <w:rPr>
                <w:color w:val="252A28"/>
                <w:sz w:val="20"/>
              </w:rPr>
              <w:t>2018–2020 / either ceiling</w:t>
            </w:r>
          </w:p>
        </w:tc>
        <w:tc>
          <w:tcPr>
            <w:tcW w:type="dxa" w:w="792"/>
            <w:vAlign w:val="center"/>
            <w:shd w:fill="F6F2E9" w:val="clear" w:color="auto"/>
          </w:tcPr>
          <w:p>
            <w:pPr>
              <w:spacing w:after="0" w:line="245" w:lineRule="auto"/>
              <w:jc w:val="right"/>
            </w:pPr>
            <w:r>
              <w:rPr>
                <w:color w:val="252A28"/>
                <w:sz w:val="20"/>
              </w:rPr>
              <w:t>15</w:t>
            </w:r>
          </w:p>
        </w:tc>
        <w:tc>
          <w:tcPr>
            <w:tcW w:type="dxa" w:w="1656"/>
            <w:vAlign w:val="center"/>
            <w:shd w:fill="F6F2E9" w:val="clear" w:color="auto"/>
          </w:tcPr>
          <w:p>
            <w:pPr>
              <w:spacing w:after="0" w:line="245" w:lineRule="auto"/>
              <w:jc w:val="right"/>
            </w:pPr>
            <w:r>
              <w:rPr>
                <w:color w:val="252A28"/>
                <w:sz w:val="20"/>
              </w:rPr>
              <w:t>3,649.31</w:t>
            </w:r>
          </w:p>
        </w:tc>
        <w:tc>
          <w:tcPr>
            <w:tcW w:type="dxa" w:w="1512"/>
            <w:vAlign w:val="center"/>
            <w:shd w:fill="F6F2E9" w:val="clear" w:color="auto"/>
          </w:tcPr>
          <w:p>
            <w:pPr>
              <w:spacing w:after="0" w:line="245" w:lineRule="auto"/>
              <w:jc w:val="right"/>
            </w:pPr>
            <w:r>
              <w:rPr>
                <w:color w:val="252A28"/>
                <w:sz w:val="20"/>
              </w:rPr>
              <w:t>$7.18m</w:t>
            </w:r>
          </w:p>
        </w:tc>
        <w:tc>
          <w:tcPr>
            <w:tcW w:type="dxa" w:w="2952"/>
            <w:vAlign w:val="center"/>
            <w:shd w:fill="F3E9DA" w:val="clear" w:color="auto"/>
          </w:tcPr>
          <w:p>
            <w:pPr>
              <w:spacing w:after="0" w:line="245" w:lineRule="auto"/>
              <w:jc w:val="right"/>
            </w:pPr>
            <w:r>
              <w:rPr>
                <w:b/>
                <w:color w:val="A51C30"/>
                <w:sz w:val="20"/>
              </w:rPr>
              <w:t>115.09</w:t>
            </w:r>
          </w:p>
        </w:tc>
      </w:tr>
    </w:tbl>
    <w:p>
      <w:pPr>
        <w:pStyle w:val="SourceNote"/>
        <w:spacing w:after="60"/>
      </w:pPr>
      <w:r>
        <w:t xml:space="preserve">Source: </w:t>
      </w:r>
      <w:r>
        <w:rPr>
          <w:color w:val="5B6268"/>
          <w:sz w:val="18"/>
        </w:rPr>
        <w:t>[1]</w:t>
      </w:r>
      <w:r>
        <w:t>, Table 1. “m” means million dollars. Ceilings are study scenarios, not verified appropriations. Each retains a 10% reserve; initial cost excludes continuing stewardship. Credited acres are existing potential habitat, not newly created forest or confirmed occupancy.</w:t>
      </w:r>
    </w:p>
    <w:p>
      <w:pPr>
        <w:spacing w:after="80"/>
      </w:pPr>
      <w:r>
        <w:t xml:space="preserve">The broader $50 million result contains </w:t>
      </w:r>
      <w:r>
        <w:rPr>
          <w:b/>
          <w:color w:val="6A2E35"/>
        </w:rPr>
        <w:t>1,251.32 more credited acres</w:t>
      </w:r>
      <w:r>
        <w:t xml:space="preserve"> than the broader $18 million result. In the narrower scenario, additional funding buys no additional credited habitat because all qualifying connected habitat in that screen is already included. That is a limit of this particular evidence-and-model combination, not a finding that the county has no other valuable habitat. The scenarios are separate comparisons, not upper and lower confidence bounds. </w:t>
      </w:r>
      <w:r>
        <w:rPr>
          <w:color w:val="5B6268"/>
          <w:sz w:val="18"/>
        </w:rPr>
        <w:t>[1, pp. 2, 10–11]</w:t>
      </w:r>
    </w:p>
    <w:p>
      <w:pPr>
        <w:pStyle w:val="Heading2"/>
        <w:spacing w:before="160"/>
      </w:pPr>
      <w:r>
        <w:rPr>
          <w:color w:val="6A2E35"/>
        </w:rPr>
        <w:t>Resource issue: the forest’s structure matters</w:t>
      </w:r>
    </w:p>
    <w:p>
      <w:pPr>
        <w:keepLines/>
        <w:spacing w:after="80"/>
      </w:pPr>
      <w:r>
        <w:t xml:space="preserve">The paper reports the species’ 2023 uplisting to state endangered and describes three regional populations. The Washington Department of Fish and Wildlife (WDFW) reported a </w:t>
      </w:r>
      <w:r>
        <w:rPr>
          <w:b/>
        </w:rPr>
        <w:t>21.2% decline in potential primary habitat in the South Cascades during 1993–2017</w:t>
      </w:r>
      <w:r>
        <w:t xml:space="preserve">, with timber harvest the dominant identified disturbance there. These are historical regional findings, not individual-parcel forecasts. The habitat question concerns more than tree cover: mature conifers, nest and food trees, and connected crowns all matter. </w:t>
      </w:r>
      <w:r>
        <w:rPr>
          <w:color w:val="5B6268"/>
          <w:sz w:val="18"/>
        </w:rPr>
        <w:t>[1, pp. 3–4; 2, pp. 10–11; 3]</w:t>
      </w:r>
    </w:p>
    <w:p>
      <w:r>
        <w:br w:type="page"/>
      </w:r>
    </w:p>
    <w:p>
      <w:pPr>
        <w:pStyle w:val="Eyebrow"/>
      </w:pPr>
      <w:r>
        <w:t>METHODOLOGY</w:t>
      </w:r>
    </w:p>
    <w:p>
      <w:pPr>
        <w:pStyle w:val="Heading1"/>
      </w:pPr>
      <w:r>
        <w:rPr>
          <w:color w:val="6A2E35"/>
        </w:rPr>
        <w:t>From forest maps to whole-parcel portfolios</w:t>
      </w:r>
    </w:p>
    <w:p>
      <w:r>
        <w:t xml:space="preserve">The analysis asks three linked questions: </w:t>
      </w:r>
      <w:r>
        <w:rPr>
          <w:b/>
          <w:color w:val="6A2E35"/>
        </w:rPr>
        <w:t>Does the forest pass the habitat screen?</w:t>
      </w:r>
      <w:r>
        <w:rPr>
          <w:b/>
        </w:rPr>
        <w:t xml:space="preserve"> </w:t>
      </w:r>
      <w:r>
        <w:rPr>
          <w:b/>
          <w:color w:val="6A2E35"/>
        </w:rPr>
        <w:t>Is that habitat connected to occurrence evidence?</w:t>
      </w:r>
      <w:r>
        <w:rPr>
          <w:b/>
        </w:rPr>
        <w:t xml:space="preserve"> </w:t>
      </w:r>
      <w:r>
        <w:rPr>
          <w:b/>
          <w:color w:val="6A2E35"/>
        </w:rPr>
        <w:t>What would the complete land transaction cost?</w:t>
      </w:r>
      <w:r>
        <w:t xml:space="preserve"> A favorable answer to just one is not enough. The model builds that comparison in four steps. </w:t>
      </w:r>
      <w:r>
        <w:rPr>
          <w:color w:val="5B6268"/>
          <w:sz w:val="18"/>
        </w:rPr>
        <w:t>[1, Appendices A–B]</w:t>
      </w:r>
    </w:p>
    <w:p>
      <w:pPr>
        <w:pStyle w:val="Heading2"/>
      </w:pPr>
      <w:r>
        <w:rPr>
          <w:color w:val="6A2E35"/>
        </w:rPr>
        <w:t>First, define the land that can enter the model.</w:t>
      </w:r>
    </w:p>
    <w:p>
      <w:r>
        <w:t xml:space="preserve">County mapping is normalized into </w:t>
      </w:r>
      <w:r>
        <w:rPr>
          <w:b/>
        </w:rPr>
        <w:t>21,341 unique parcels</w:t>
      </w:r>
      <w:r>
        <w:t xml:space="preserve">, preserving 14-digit identifiers and combining duplicate geometry fragments. The private-purchase screen excludes identified public, Tribal, and conservation-organization holdings and parcels with more than 1% mapped protected-interest overlap. It also requires mapped and assessor acreage to agree within 10%. Price predictions are limited to the observed acreage range of 10–648.5 assessor acres and supported location and land-use attributes. </w:t>
      </w:r>
      <w:r>
        <w:rPr>
          <w:color w:val="5B6268"/>
          <w:sz w:val="18"/>
        </w:rPr>
        <w:t>[1, pp. 18–21, 24]</w:t>
      </w:r>
    </w:p>
    <w:p>
      <w:pPr>
        <w:pStyle w:val="Heading2"/>
      </w:pPr>
      <w:r>
        <w:rPr>
          <w:color w:val="6A2E35"/>
        </w:rPr>
        <w:t>Next, keep the age of the squirrel evidence visible.</w:t>
      </w:r>
    </w:p>
    <w:p>
      <w:r>
        <w:t xml:space="preserve">The WDFW extract contains 869 county-intersecting features, including </w:t>
      </w:r>
      <w:r>
        <w:rPr>
          <w:b/>
        </w:rPr>
        <w:t>24 from 2018–2020 and 806 from 1994–1996</w:t>
      </w:r>
      <w:r>
        <w:t xml:space="preserve">. The newer modeled features are buffered survey transects, not precise nest points. Both scenarios search within one kilometer of the relevant mapped footprints; that distance is an analyst’s search rule, not a measured movement limit. Old records help define a conditional search area. They do not establish a dense present-day population. </w:t>
      </w:r>
      <w:r>
        <w:rPr>
          <w:color w:val="5B6268"/>
          <w:sz w:val="18"/>
        </w:rPr>
        <w:t>[1, pp. 5, 21]</w:t>
      </w:r>
    </w:p>
    <w:p>
      <w:pPr>
        <w:pStyle w:val="Heading2"/>
      </w:pPr>
      <w:r>
        <w:rPr>
          <w:color w:val="6A2E35"/>
        </w:rPr>
        <w:t>Then ask what the trees can tell us.</w:t>
      </w:r>
    </w:p>
    <w:p>
      <w:r>
        <w:t xml:space="preserve">Forest Service 2025 canopy estimates (TCC v2025.6) and LANDFIRE 2025 vegetation and height layers share a </w:t>
      </w:r>
      <w:r>
        <w:rPr>
          <w:b/>
        </w:rPr>
        <w:t>30-meter grid in EPSG 5070</w:t>
      </w:r>
      <w:r>
        <w:t xml:space="preserve">. The primary screen requires 45–75% canopy cover, trees at least 15 meters tall, and one of five specified conifer vegetation systems. The broader connection screen permits 25–85% canopy and heights of at least 10 meters, and also admits oak woodland. This locates potential structure, not measured squirrel occupancy. </w:t>
      </w:r>
      <w:r>
        <w:rPr>
          <w:color w:val="5B6268"/>
          <w:sz w:val="18"/>
        </w:rPr>
        <w:t>[1, pp. 20–22; 3]</w:t>
      </w:r>
    </w:p>
    <w:p>
      <w:r>
        <w:t xml:space="preserve">A cell crossing a parcel edge contributes only its intersected area. The method therefore </w:t>
      </w:r>
      <w:r>
        <w:rPr>
          <w:color w:val="6A2E35"/>
        </w:rPr>
        <w:t>counts fractional acres</w:t>
      </w:r>
      <w:r>
        <w:t xml:space="preserve">, rather than treating every partly overlapping cell as wholly inside. Tree diameter, nest use, food resources, shrub cover, and actual crown connections still require field inspection. </w:t>
      </w:r>
      <w:r>
        <w:rPr>
          <w:color w:val="5B6268"/>
          <w:sz w:val="18"/>
        </w:rPr>
        <w:t>[1, pp. 4, 20]</w:t>
      </w:r>
    </w:p>
    <w:p>
      <w:pPr>
        <w:pStyle w:val="Heading2"/>
      </w:pPr>
      <w:r>
        <w:rPr>
          <w:color w:val="6A2E35"/>
        </w:rPr>
        <w:t>Finally, connect the habitat—and pay for the whole parcel.</w:t>
      </w:r>
    </w:p>
    <w:p>
      <w:r>
        <w:t xml:space="preserve">The model joins internally connected habitat patches only where they share an edge, not merely a corner. A patch receives credit only if an active path reaches an occurrence footprint through selected private parcels or conditional protected-land nodes. A private starting parcel must be purchased too. This is a map-based connectivity test, not a prediction of squirrel movement; roads and smaller gaps can escape the grid. </w:t>
      </w:r>
      <w:r>
        <w:rPr>
          <w:color w:val="5B6268"/>
          <w:sz w:val="18"/>
        </w:rPr>
        <w:t>[1, pp. 25–27]</w:t>
      </w:r>
    </w:p>
    <w:p>
      <w:r>
        <w:t xml:space="preserve">From 155 eligible parcels in the 2018–2020 scenario or 902 in the historical scenario, mixed-integer optimization selects whole parcels to maximize credited connected habitat, then minimizes cost without reducing that habitat total. It charges each parcel once and checks spending in cents and connectivity independently. The 2018–2020 runs report zero solver gap; the historical runs meet a 0.1% tolerance. Complete rules, coefficients, and checks remain in the paper. </w:t>
      </w:r>
      <w:r>
        <w:rPr>
          <w:color w:val="5B6268"/>
          <w:sz w:val="18"/>
        </w:rPr>
        <w:t>[1, p. 27]</w:t>
      </w:r>
    </w:p>
    <w:p>
      <w:r>
        <w:br w:type="page"/>
      </w:r>
    </w:p>
    <w:p>
      <w:pPr>
        <w:pStyle w:val="Eyebrow"/>
      </w:pPr>
      <w:r>
        <w:t>ECOLOGICAL OUTCOMES AND PARCEL DETAIL</w:t>
      </w:r>
    </w:p>
    <w:p>
      <w:pPr>
        <w:pStyle w:val="Heading1"/>
      </w:pPr>
      <w:r>
        <w:rPr>
          <w:color w:val="6A2E35"/>
        </w:rPr>
        <w:t>What would protection actually add?</w:t>
      </w:r>
    </w:p>
    <w:p>
      <w:r>
        <w:t xml:space="preserve">Buying a forest does not make the trees taller on the day the deed changes hands. It changes who controls what happens next. That distinction separates </w:t>
      </w:r>
      <w:r>
        <w:rPr>
          <w:b/>
        </w:rPr>
        <w:t>land purchased, existing habitat newly controlled, habitat loss avoided, and habitat physically created</w:t>
      </w:r>
      <w:r>
        <w:t xml:space="preserve">. The paper keeps these four accounts separate so that the same acre is not counted as several different gains. </w:t>
      </w:r>
      <w:r>
        <w:rPr>
          <w:color w:val="5B6268"/>
          <w:sz w:val="18"/>
        </w:rPr>
        <w:t>[1, p. 7]</w:t>
      </w:r>
    </w:p>
    <w:p>
      <w:r>
        <w:t xml:space="preserve">The model’s credited habitat is existing forest that passes its remote-sensing and connectivity rules. Additionality asks a different question: </w:t>
      </w:r>
      <w:r>
        <w:rPr>
          <w:b/>
          <w:color w:val="6A2E35"/>
        </w:rPr>
        <w:t>how much more habitat remains in the future with acquisition than without it?</w:t>
      </w:r>
      <w:r>
        <w:t xml:space="preserve"> In the paper’s illustrative 30-year scenario, acquisition prevents a specified 20% loss while maintaining existing structure. That yields 411.01 additional retained acres for the historical $18 million portfolio and 661.28 for the $50 million portfolio; the 2018–2020 portfolio yields 23.02. </w:t>
      </w:r>
      <w:r>
        <w:rPr>
          <w:color w:val="5B6268"/>
          <w:sz w:val="18"/>
        </w:rPr>
        <w:t>[1, Table 10]</w:t>
      </w:r>
    </w:p>
    <w:p>
      <w:pPr>
        <w:keepLines/>
        <w:spacing w:before="80" w:after="180"/>
        <w:ind w:left="173" w:right="115"/>
        <w:shd w:fill="FCF8F1" w:val="clear" w:color="auto"/>
        <w:pBdr>
          <w:left w:val="single" w:sz="12" w:space="5" w:color="A8864B"/>
        </w:pBdr>
      </w:pPr>
      <w:r>
        <w:rPr>
          <w:b/>
          <w:i/>
          <w:color w:val="6A2E35"/>
        </w:rPr>
        <w:t>Avoided loss is a comparison between two futures.</w:t>
      </w:r>
      <w:r>
        <w:rPr>
          <w:i/>
          <w:color w:val="6A2E35"/>
        </w:rPr>
        <w:t xml:space="preserve"> Physical expansion is a comparison with today. The 20% illustration measures the first; the acquisition-only model credits zero new physical habitat. </w:t>
      </w:r>
      <w:r>
        <w:rPr>
          <w:i/>
          <w:color w:val="6A2E35"/>
          <w:sz w:val="18"/>
        </w:rPr>
        <w:t>[1, pp. 24–25]</w:t>
      </w:r>
    </w:p>
    <w:p>
      <w:r>
        <w:t xml:space="preserve">Applying the same positive avoided-loss fraction to all units leaves the model’s habitat-maximizing selection unchanged; parcel-specific effects would require a new run. The paper also tests 0%, 10%, and 35% avoided loss. These are assumptions, not measured parcel risks or survival probabilities. The ecological mechanism is retention of useful forest and connected routes. Converting that into a percentage improvement in squirrel survival would require demographic and movement evidence the model does not contain. A restoration component would need its own treatments, costs, maturation time, and failure assumptions before it could earn new-habitat credit. </w:t>
      </w:r>
      <w:r>
        <w:rPr>
          <w:color w:val="5B6268"/>
          <w:sz w:val="18"/>
        </w:rPr>
        <w:t>[1, pp. 3, 6, 15, 24–25]</w:t>
      </w:r>
    </w:p>
    <w:p>
      <w:pPr>
        <w:pStyle w:val="Heading2"/>
      </w:pPr>
      <w:r>
        <w:rPr>
          <w:color w:val="6A2E35"/>
        </w:rPr>
        <w:t>A closer look at three parcels</w:t>
      </w:r>
    </w:p>
    <w:p>
      <w:r>
        <w:t xml:space="preserve">Within the 15-parcel 2018–2020 portfolio, the paper identifies a three-parcel subset containing </w:t>
      </w:r>
      <w:r>
        <w:rPr>
          <w:b/>
          <w:color w:val="6A2E35"/>
        </w:rPr>
        <w:t>57.97 credited acres—50.4%</w:t>
      </w:r>
      <w:r>
        <w:rPr>
          <w:b/>
        </w:rPr>
        <w:t xml:space="preserve"> of that portfolio’s habitat—at a modeled initial cost of $925,788</w:t>
      </w:r>
      <w:r>
        <w:t xml:space="preserve">. These are exact research identifiers, not confirmed properties for sale. </w:t>
      </w:r>
      <w:r>
        <w:rPr>
          <w:color w:val="5B6268"/>
          <w:sz w:val="18"/>
        </w:rPr>
        <w:t>[1, p. 8]</w:t>
      </w:r>
    </w:p>
    <w:p>
      <w:pPr>
        <w:pStyle w:val="Caption"/>
      </w:pPr>
      <w:r>
        <w:rPr>
          <w:b/>
          <w:color w:val="A51C30"/>
        </w:rPr>
        <w:t>Table 2.</w:t>
      </w:r>
      <w:r>
        <w:t xml:space="preserve"> Three-parcel research subset</w:t>
      </w:r>
    </w:p>
    <w:tbl>
      <w:tblPr>
        <w:tblW w:type="auto" w:w="0"/>
        <w:jc w:val="center"/>
        <w:tblLayout w:type="fixed"/>
        <w:tblLook w:firstColumn="1" w:firstRow="1" w:lastColumn="0" w:lastRow="0" w:noHBand="0" w:noVBand="1" w:val="04A0"/>
        <w:tblBorders>
          <w:top w:val="nil" w:sz="4" w:color="D7CDCA"/>
          <w:left w:val="nil" w:sz="4" w:color="D7CDCA"/>
          <w:bottom w:val="single" w:sz="4" w:color="D7CDCA"/>
          <w:right w:val="nil" w:sz="4" w:color="D7CDCA"/>
          <w:insideH w:val="single" w:sz="4" w:color="D7CDCA"/>
          <w:insideV w:val="nil" w:sz="4" w:color="D7CDCA"/>
        </w:tblBorders>
        <w:tblCellMar>
          <w:top w:w="85" w:type="dxa"/>
          <w:bottom w:w="85" w:type="dxa"/>
          <w:left w:w="100" w:type="dxa"/>
          <w:right w:w="100" w:type="dxa"/>
        </w:tblCellMar>
        <w:tblCaption w:val="County parcel ID"/>
      </w:tblPr>
      <w:tblGrid>
        <w:gridCol w:w="3514"/>
        <w:gridCol w:w="1944"/>
        <w:gridCol w:w="2232"/>
        <w:gridCol w:w="2304"/>
      </w:tblGrid>
      <w:tr>
        <w:trPr>
          <w:tblHeader/>
        </w:trPr>
        <w:tc>
          <w:tcPr>
            <w:tcW w:type="dxa" w:w="3514"/>
            <w:vAlign w:val="center"/>
            <w:shd w:fill="6A2E35" w:val="clear" w:color="auto"/>
            <w:tcBorders>
              <w:bottom w:val="single" w:sz="10" w:color="A8864B" w:space="0"/>
            </w:tcBorders>
          </w:tcPr>
          <w:p>
            <w:pPr>
              <w:spacing w:after="0" w:line="240" w:lineRule="auto"/>
            </w:pPr>
            <w:r>
              <w:rPr>
                <w:b/>
                <w:color w:val="FFFFFF"/>
                <w:sz w:val="20"/>
              </w:rPr>
              <w:t>County parcel ID</w:t>
            </w:r>
          </w:p>
        </w:tc>
        <w:tc>
          <w:tcPr>
            <w:tcW w:type="dxa" w:w="1944"/>
            <w:vAlign w:val="center"/>
            <w:shd w:fill="6A2E35" w:val="clear" w:color="auto"/>
            <w:tcBorders>
              <w:bottom w:val="single" w:sz="10" w:color="A8864B" w:space="0"/>
            </w:tcBorders>
          </w:tcPr>
          <w:p>
            <w:pPr>
              <w:spacing w:after="0" w:line="240" w:lineRule="auto"/>
            </w:pPr>
            <w:r>
              <w:rPr>
                <w:b/>
                <w:color w:val="FFFFFF"/>
                <w:sz w:val="20"/>
              </w:rPr>
              <w:t>Mapped land</w:t>
              <w:br/>
              <w:t>acres</w:t>
            </w:r>
          </w:p>
        </w:tc>
        <w:tc>
          <w:tcPr>
            <w:tcW w:type="dxa" w:w="2232"/>
            <w:vAlign w:val="center"/>
            <w:shd w:fill="6A2E35" w:val="clear" w:color="auto"/>
            <w:tcBorders>
              <w:bottom w:val="single" w:sz="10" w:color="A8864B" w:space="0"/>
            </w:tcBorders>
          </w:tcPr>
          <w:p>
            <w:pPr>
              <w:spacing w:after="0" w:line="240" w:lineRule="auto"/>
            </w:pPr>
            <w:r>
              <w:rPr>
                <w:b/>
                <w:color w:val="FFFFFF"/>
                <w:sz w:val="20"/>
              </w:rPr>
              <w:t>Initial cost</w:t>
            </w:r>
          </w:p>
        </w:tc>
        <w:tc>
          <w:tcPr>
            <w:tcW w:type="dxa" w:w="2304"/>
            <w:vAlign w:val="center"/>
            <w:shd w:fill="4E2027" w:val="clear" w:color="auto"/>
            <w:tcBorders>
              <w:bottom w:val="single" w:sz="10" w:color="A8864B" w:space="0"/>
            </w:tcBorders>
          </w:tcPr>
          <w:p>
            <w:pPr>
              <w:spacing w:after="0" w:line="240" w:lineRule="auto"/>
            </w:pPr>
            <w:r>
              <w:rPr>
                <w:b/>
                <w:color w:val="FFFFFF"/>
                <w:sz w:val="20"/>
              </w:rPr>
              <w:t>Credited</w:t>
              <w:br/>
              <w:t>habitat acres</w:t>
            </w:r>
          </w:p>
        </w:tc>
      </w:tr>
      <w:tr>
        <w:trPr>
          <w:cantSplit/>
        </w:trPr>
        <w:tc>
          <w:tcPr>
            <w:tcW w:type="dxa" w:w="3514"/>
            <w:vAlign w:val="center"/>
            <w:shd w:fill="F6F2E9" w:val="clear" w:color="auto"/>
          </w:tcPr>
          <w:p>
            <w:pPr>
              <w:spacing w:after="0" w:line="245" w:lineRule="auto"/>
            </w:pPr>
            <w:r>
              <w:rPr>
                <w:color w:val="252A28"/>
                <w:sz w:val="20"/>
              </w:rPr>
              <w:t>04141300000600</w:t>
            </w:r>
          </w:p>
        </w:tc>
        <w:tc>
          <w:tcPr>
            <w:tcW w:type="dxa" w:w="1944"/>
            <w:vAlign w:val="center"/>
            <w:shd w:fill="F6F2E9" w:val="clear" w:color="auto"/>
          </w:tcPr>
          <w:p>
            <w:pPr>
              <w:spacing w:after="0" w:line="245" w:lineRule="auto"/>
              <w:jc w:val="right"/>
            </w:pPr>
            <w:r>
              <w:rPr>
                <w:color w:val="252A28"/>
                <w:sz w:val="20"/>
              </w:rPr>
              <w:t>39.49</w:t>
            </w:r>
          </w:p>
        </w:tc>
        <w:tc>
          <w:tcPr>
            <w:tcW w:type="dxa" w:w="2232"/>
            <w:vAlign w:val="center"/>
            <w:shd w:fill="F6F2E9" w:val="clear" w:color="auto"/>
          </w:tcPr>
          <w:p>
            <w:pPr>
              <w:spacing w:after="0" w:line="245" w:lineRule="auto"/>
              <w:jc w:val="right"/>
            </w:pPr>
            <w:r>
              <w:rPr>
                <w:color w:val="252A28"/>
                <w:sz w:val="20"/>
              </w:rPr>
              <w:t>$425,255</w:t>
            </w:r>
          </w:p>
        </w:tc>
        <w:tc>
          <w:tcPr>
            <w:tcW w:type="dxa" w:w="2304"/>
            <w:vAlign w:val="center"/>
            <w:shd w:fill="F3E9DA" w:val="clear" w:color="auto"/>
          </w:tcPr>
          <w:p>
            <w:pPr>
              <w:spacing w:after="0" w:line="245" w:lineRule="auto"/>
              <w:jc w:val="right"/>
            </w:pPr>
            <w:r>
              <w:rPr>
                <w:b/>
                <w:color w:val="A51C30"/>
                <w:sz w:val="20"/>
              </w:rPr>
              <w:t>20.97</w:t>
            </w:r>
          </w:p>
        </w:tc>
      </w:tr>
      <w:tr>
        <w:trPr>
          <w:cantSplit/>
        </w:trPr>
        <w:tc>
          <w:tcPr>
            <w:tcW w:type="dxa" w:w="3514"/>
            <w:vAlign w:val="center"/>
            <w:shd w:val="clear" w:color="auto" w:fill="FFFFFF"/>
          </w:tcPr>
          <w:p>
            <w:pPr>
              <w:spacing w:after="0" w:line="245" w:lineRule="auto"/>
            </w:pPr>
            <w:r>
              <w:rPr>
                <w:color w:val="252A28"/>
                <w:sz w:val="20"/>
              </w:rPr>
              <w:t>05161900000500</w:t>
            </w:r>
          </w:p>
        </w:tc>
        <w:tc>
          <w:tcPr>
            <w:tcW w:type="dxa" w:w="1944"/>
            <w:vAlign w:val="center"/>
            <w:shd w:val="clear" w:color="auto" w:fill="FFFFFF"/>
          </w:tcPr>
          <w:p>
            <w:pPr>
              <w:spacing w:after="0" w:line="245" w:lineRule="auto"/>
              <w:jc w:val="right"/>
            </w:pPr>
            <w:r>
              <w:rPr>
                <w:color w:val="252A28"/>
                <w:sz w:val="20"/>
              </w:rPr>
              <w:t>40.45</w:t>
            </w:r>
          </w:p>
        </w:tc>
        <w:tc>
          <w:tcPr>
            <w:tcW w:type="dxa" w:w="2232"/>
            <w:vAlign w:val="center"/>
            <w:shd w:val="clear" w:color="auto" w:fill="FFFFFF"/>
          </w:tcPr>
          <w:p>
            <w:pPr>
              <w:spacing w:after="0" w:line="245" w:lineRule="auto"/>
              <w:jc w:val="right"/>
            </w:pPr>
            <w:r>
              <w:rPr>
                <w:color w:val="252A28"/>
                <w:sz w:val="20"/>
              </w:rPr>
              <w:t>$219,771</w:t>
            </w:r>
          </w:p>
        </w:tc>
        <w:tc>
          <w:tcPr>
            <w:tcW w:type="dxa" w:w="2304"/>
            <w:vAlign w:val="center"/>
            <w:shd w:val="clear" w:color="auto" w:fill="FCF7EF"/>
          </w:tcPr>
          <w:p>
            <w:pPr>
              <w:spacing w:after="0" w:line="245" w:lineRule="auto"/>
              <w:jc w:val="right"/>
            </w:pPr>
            <w:r>
              <w:rPr>
                <w:b/>
                <w:color w:val="A51C30"/>
                <w:sz w:val="20"/>
              </w:rPr>
              <w:t>13.36</w:t>
            </w:r>
          </w:p>
        </w:tc>
      </w:tr>
      <w:tr>
        <w:trPr>
          <w:cantSplit/>
        </w:trPr>
        <w:tc>
          <w:tcPr>
            <w:tcW w:type="dxa" w:w="3514"/>
            <w:vAlign w:val="center"/>
            <w:shd w:fill="F6F2E9" w:val="clear" w:color="auto"/>
          </w:tcPr>
          <w:p>
            <w:pPr>
              <w:spacing w:after="0" w:line="245" w:lineRule="auto"/>
            </w:pPr>
            <w:r>
              <w:rPr>
                <w:color w:val="252A28"/>
                <w:sz w:val="20"/>
              </w:rPr>
              <w:t>05163000000900</w:t>
            </w:r>
          </w:p>
        </w:tc>
        <w:tc>
          <w:tcPr>
            <w:tcW w:type="dxa" w:w="1944"/>
            <w:vAlign w:val="center"/>
            <w:shd w:fill="F6F2E9" w:val="clear" w:color="auto"/>
          </w:tcPr>
          <w:p>
            <w:pPr>
              <w:spacing w:after="0" w:line="245" w:lineRule="auto"/>
              <w:jc w:val="right"/>
            </w:pPr>
            <w:r>
              <w:rPr>
                <w:color w:val="252A28"/>
                <w:sz w:val="20"/>
              </w:rPr>
              <w:t>116.47</w:t>
            </w:r>
          </w:p>
        </w:tc>
        <w:tc>
          <w:tcPr>
            <w:tcW w:type="dxa" w:w="2232"/>
            <w:vAlign w:val="center"/>
            <w:shd w:fill="F6F2E9" w:val="clear" w:color="auto"/>
          </w:tcPr>
          <w:p>
            <w:pPr>
              <w:spacing w:after="0" w:line="245" w:lineRule="auto"/>
              <w:jc w:val="right"/>
            </w:pPr>
            <w:r>
              <w:rPr>
                <w:color w:val="252A28"/>
                <w:sz w:val="20"/>
              </w:rPr>
              <w:t>$280,763</w:t>
            </w:r>
          </w:p>
        </w:tc>
        <w:tc>
          <w:tcPr>
            <w:tcW w:type="dxa" w:w="2304"/>
            <w:vAlign w:val="center"/>
            <w:shd w:fill="F3E9DA" w:val="clear" w:color="auto"/>
          </w:tcPr>
          <w:p>
            <w:pPr>
              <w:spacing w:after="0" w:line="245" w:lineRule="auto"/>
              <w:jc w:val="right"/>
            </w:pPr>
            <w:r>
              <w:rPr>
                <w:b/>
                <w:color w:val="A51C30"/>
                <w:sz w:val="20"/>
              </w:rPr>
              <w:t>23.64</w:t>
            </w:r>
          </w:p>
        </w:tc>
      </w:tr>
    </w:tbl>
    <w:p>
      <w:pPr>
        <w:pStyle w:val="SourceNote"/>
      </w:pPr>
      <w:r>
        <w:t xml:space="preserve">Source: </w:t>
      </w:r>
      <w:r>
        <w:rPr>
          <w:color w:val="5B6268"/>
          <w:sz w:val="18"/>
        </w:rPr>
        <w:t>[1]</w:t>
      </w:r>
      <w:r>
        <w:t>, Table 3 and p. 8. Leading zeros are part of each identifier. Combined totals use unrounded study outputs; rounded parcel costs may not sum exactly.</w:t>
      </w:r>
    </w:p>
    <w:p>
      <w:r>
        <w:t xml:space="preserve">A five-parcel subset contains 88.24 credited acres at about $2.64 million; an eleven-parcel subset retains 95.8% of the full set’s credited habitat at about $5.02 million. These results come from testing </w:t>
      </w:r>
      <w:r>
        <w:rPr>
          <w:b/>
        </w:rPr>
        <w:t>all 32,768 subsets of the selected 15 parcels</w:t>
      </w:r>
      <w:r>
        <w:t xml:space="preserve">, rechecking connections every time—not from simply sorting individual acreage-to-price ratios. The comparison is restricted to those 15 parcels, not every possible county purchase package. </w:t>
      </w:r>
      <w:r>
        <w:rPr>
          <w:color w:val="5B6268"/>
          <w:sz w:val="18"/>
        </w:rPr>
        <w:t>[1, pp. 2, 8, 27]</w:t>
      </w:r>
    </w:p>
    <w:p>
      <w:r>
        <w:br w:type="page"/>
      </w:r>
    </w:p>
    <w:p>
      <w:pPr>
        <w:pStyle w:val="Eyebrow"/>
      </w:pPr>
      <w:r>
        <w:t>ECONOMIC ANALYSIS</w:t>
      </w:r>
    </w:p>
    <w:p>
      <w:pPr>
        <w:pStyle w:val="Heading1"/>
      </w:pPr>
      <w:r>
        <w:rPr>
          <w:color w:val="6A2E35"/>
        </w:rPr>
        <w:t>The purchase price is only the first cost</w:t>
      </w:r>
    </w:p>
    <w:p>
      <w:r>
        <w:t xml:space="preserve">A price model is a way to screen possibilities before an appraisal. Here it uses </w:t>
      </w:r>
      <w:r>
        <w:rPr>
          <w:b/>
        </w:rPr>
        <w:t>383 screened sale observations</w:t>
      </w:r>
      <w:r>
        <w:t xml:space="preserve">, fitting the logarithm of total consideration to acreage, location, sale date, and land-use category. A smearing correction converts predictions back into mean dollar amounts. Repeated-document sales are excluded to avoid charging a bundled transaction once per parcel; that also leaves large bundled timberland sales potentially underrepresented. </w:t>
      </w:r>
      <w:r>
        <w:rPr>
          <w:color w:val="5B6268"/>
          <w:sz w:val="18"/>
        </w:rPr>
        <w:t>[1, pp. 19, 22–23]</w:t>
      </w:r>
    </w:p>
    <w:p>
      <w:r>
        <w:t xml:space="preserve">Validation keeps nearby sales together in 10-kilometer spatial blocks across five folds. The median absolute percentage error is </w:t>
      </w:r>
      <w:r>
        <w:rPr>
          <w:b/>
          <w:color w:val="6A2E35"/>
        </w:rPr>
        <w:t>66.9%</w:t>
      </w:r>
      <w:r>
        <w:t xml:space="preserve">: roughly half the held-out predictions miss their sale prices by at least that percentage. This is substantial parcel-level uncertainty, not a ±66.9% confidence interval. The estimates are neither appraisals nor evidence that owners will accept them. </w:t>
      </w:r>
      <w:r>
        <w:rPr>
          <w:color w:val="5B6268"/>
          <w:sz w:val="18"/>
        </w:rPr>
        <w:t>[1, pp. 23–24]</w:t>
      </w:r>
    </w:p>
    <w:p>
      <w:pPr>
        <w:pStyle w:val="Heading2"/>
      </w:pPr>
      <w:r>
        <w:rPr>
          <w:color w:val="6A2E35"/>
        </w:rPr>
        <w:t>What is included in the initial estimate?</w:t>
      </w:r>
    </w:p>
    <w:p>
      <w:r>
        <w:t xml:space="preserve">For each whole acquisition unit, the paper applies the following planning formula: </w:t>
      </w:r>
      <w:r>
        <w:rPr>
          <w:color w:val="5B6268"/>
          <w:sz w:val="18"/>
        </w:rPr>
        <w:t>[1, p. 12]</w:t>
      </w:r>
    </w:p>
    <w:p>
      <w:pPr>
        <w:pStyle w:val="Formula"/>
        <w:shd w:val="clear" w:color="auto" w:fill="FCF8F1"/>
        <w:keepNext/>
        <w:pBdr>
          <w:left w:val="single" w:sz="12" w:color="A8864B" w:space="5"/>
        </w:pBdr>
      </w:pPr>
      <w:r>
        <w:rPr>
          <w:b/>
          <w:color w:val="A51C30"/>
        </w:rPr>
        <w:t>Initial cost = 1.02 × estimated land price + $15,000 + $25 × assessor acres</w:t>
      </w:r>
    </w:p>
    <w:p>
      <w:r>
        <w:rPr>
          <w:i/>
          <w:color w:val="A51C30"/>
        </w:rPr>
        <w:t xml:space="preserve">The additions cover 2% closing costs, due diligence and legal work, and initial site work. The $25-per-acre site allowance earns no restoration credit. Each capital ceiling retains a 10% reserve; spending must remain below the remaining balance, enforced to the cent. These are explicit assumptions, not quotations. </w:t>
      </w:r>
      <w:r>
        <w:rPr>
          <w:i/>
          <w:color w:val="A51C30"/>
          <w:sz w:val="18"/>
        </w:rPr>
        <w:t>[1, pp. 7, 12]</w:t>
      </w:r>
    </w:p>
    <w:p>
      <w:pPr>
        <w:pStyle w:val="Heading2"/>
      </w:pPr>
      <w:r>
        <w:rPr>
          <w:color w:val="6A2E35"/>
        </w:rPr>
        <w:t>What happens when prices or obligations change?</w:t>
      </w:r>
    </w:p>
    <w:p>
      <w:r>
        <w:t xml:space="preserve">Raising land consideration by 50% makes the </w:t>
      </w:r>
      <w:r>
        <w:rPr>
          <w:b/>
        </w:rPr>
        <w:t>unchanged historical portfolios</w:t>
      </w:r>
      <w:r>
        <w:t xml:space="preserve"> cost $23.85 million and $66.29 million—above their ceilings. Re-optimizing at those higher prices produces different portfolios: 30 parcels with 1,666.41 credited acres, and 85 with 2,857.63. These are alternative designs before purchase, not evidence that completed transactions could be rearranged costlessly. </w:t>
      </w:r>
      <w:r>
        <w:rPr>
          <w:color w:val="5B6268"/>
          <w:sz w:val="18"/>
        </w:rPr>
        <w:t>[1, Tables 11, 13]</w:t>
      </w:r>
    </w:p>
    <w:p>
      <w:r>
        <w:t xml:space="preserve">Continuing stewardship is modeled separately at $25 per assessor acre annually for 30 years. At a 3% real discount rate, its present value is $4.26 million for the fixed historical $18 million portfolio and $9.63 million for the $50 million portfolio. Charging stewardship against the same ceiling changes what fits. </w:t>
      </w:r>
      <w:r>
        <w:rPr>
          <w:color w:val="5B6268"/>
          <w:sz w:val="18"/>
        </w:rPr>
        <w:t>[1, Tables 4, 11]</w:t>
      </w:r>
    </w:p>
    <w:p>
      <w:pPr>
        <w:pStyle w:val="Caption"/>
      </w:pPr>
      <w:r>
        <w:rPr>
          <w:b/>
          <w:color w:val="A51C30"/>
        </w:rPr>
        <w:t>Table 3.</w:t>
      </w:r>
      <w:r>
        <w:t xml:space="preserve"> Historical-record results with different budget definitions</w:t>
      </w:r>
    </w:p>
    <w:tbl>
      <w:tblPr>
        <w:tblW w:type="auto" w:w="0"/>
        <w:jc w:val="center"/>
        <w:tblLayout w:type="fixed"/>
        <w:tblLook w:firstColumn="1" w:firstRow="1" w:lastColumn="0" w:lastRow="0" w:noHBand="0" w:noVBand="1" w:val="04A0"/>
        <w:tblBorders>
          <w:top w:val="nil" w:sz="4" w:color="D7CDCA"/>
          <w:left w:val="nil" w:sz="4" w:color="D7CDCA"/>
          <w:bottom w:val="single" w:sz="4" w:color="D7CDCA"/>
          <w:right w:val="nil" w:sz="4" w:color="D7CDCA"/>
          <w:insideH w:val="single" w:sz="4" w:color="D7CDCA"/>
          <w:insideV w:val="nil" w:sz="4" w:color="D7CDCA"/>
        </w:tblBorders>
        <w:tblCellMar>
          <w:top w:w="85" w:type="dxa"/>
          <w:bottom w:w="85" w:type="dxa"/>
          <w:left w:w="100" w:type="dxa"/>
          <w:right w:w="100" w:type="dxa"/>
        </w:tblCellMar>
        <w:tblCaption w:val="Ceiling"/>
      </w:tblPr>
      <w:tblGrid>
        <w:gridCol w:w="1570"/>
        <w:gridCol w:w="4003"/>
        <w:gridCol w:w="4421"/>
      </w:tblGrid>
      <w:tr>
        <w:trPr>
          <w:tblHeader/>
        </w:trPr>
        <w:tc>
          <w:tcPr>
            <w:tcW w:type="dxa" w:w="1570"/>
            <w:vAlign w:val="center"/>
            <w:shd w:fill="6A2E35" w:val="clear" w:color="auto"/>
            <w:tcBorders>
              <w:bottom w:val="single" w:sz="10" w:color="A8864B" w:space="0"/>
            </w:tcBorders>
          </w:tcPr>
          <w:p>
            <w:pPr>
              <w:spacing w:after="0" w:line="240" w:lineRule="auto"/>
            </w:pPr>
            <w:r>
              <w:rPr>
                <w:b/>
                <w:color w:val="FFFFFF"/>
                <w:sz w:val="20"/>
              </w:rPr>
              <w:t>Ceiling</w:t>
            </w:r>
          </w:p>
        </w:tc>
        <w:tc>
          <w:tcPr>
            <w:tcW w:type="dxa" w:w="4003"/>
            <w:vAlign w:val="center"/>
            <w:shd w:fill="6A2E35" w:val="clear" w:color="auto"/>
            <w:tcBorders>
              <w:bottom w:val="single" w:sz="10" w:color="A8864B" w:space="0"/>
            </w:tcBorders>
          </w:tcPr>
          <w:p>
            <w:pPr>
              <w:spacing w:after="0" w:line="240" w:lineRule="auto"/>
            </w:pPr>
            <w:r>
              <w:rPr>
                <w:b/>
                <w:color w:val="FFFFFF"/>
                <w:sz w:val="20"/>
              </w:rPr>
              <w:t>Capital-only result</w:t>
            </w:r>
          </w:p>
        </w:tc>
        <w:tc>
          <w:tcPr>
            <w:tcW w:type="dxa" w:w="4421"/>
            <w:vAlign w:val="center"/>
            <w:shd w:fill="6A2E35" w:val="clear" w:color="auto"/>
            <w:tcBorders>
              <w:bottom w:val="single" w:sz="10" w:color="A8864B" w:space="0"/>
            </w:tcBorders>
          </w:tcPr>
          <w:p>
            <w:pPr>
              <w:spacing w:after="0" w:line="240" w:lineRule="auto"/>
            </w:pPr>
            <w:r>
              <w:rPr>
                <w:b/>
                <w:color w:val="FFFFFF"/>
                <w:sz w:val="20"/>
              </w:rPr>
              <w:t>Capital + 30-year stewardship result</w:t>
            </w:r>
          </w:p>
        </w:tc>
      </w:tr>
      <w:tr>
        <w:trPr>
          <w:cantSplit/>
        </w:trPr>
        <w:tc>
          <w:tcPr>
            <w:tcW w:type="dxa" w:w="1570"/>
            <w:vAlign w:val="center"/>
            <w:shd w:fill="F6F2E9" w:val="clear" w:color="auto"/>
          </w:tcPr>
          <w:p>
            <w:pPr>
              <w:spacing w:after="0" w:line="245" w:lineRule="auto"/>
              <w:jc w:val="right"/>
            </w:pPr>
            <w:r>
              <w:rPr>
                <w:color w:val="252A28"/>
                <w:sz w:val="20"/>
              </w:rPr>
              <w:t>$18 million</w:t>
            </w:r>
          </w:p>
        </w:tc>
        <w:tc>
          <w:tcPr>
            <w:tcW w:type="dxa" w:w="4003"/>
            <w:vAlign w:val="center"/>
            <w:shd w:fill="F6F2E9" w:val="clear" w:color="auto"/>
          </w:tcPr>
          <w:p>
            <w:pPr>
              <w:spacing w:after="0" w:line="245" w:lineRule="auto"/>
            </w:pPr>
            <w:r>
              <w:rPr>
                <w:color w:val="252A28"/>
                <w:sz w:val="20"/>
              </w:rPr>
              <w:t>45 parcels / 2,055.06 habitat acres</w:t>
            </w:r>
          </w:p>
        </w:tc>
        <w:tc>
          <w:tcPr>
            <w:tcW w:type="dxa" w:w="4421"/>
            <w:vAlign w:val="center"/>
            <w:shd w:fill="F6F2E9" w:val="clear" w:color="auto"/>
          </w:tcPr>
          <w:p>
            <w:pPr>
              <w:spacing w:after="0" w:line="245" w:lineRule="auto"/>
            </w:pPr>
            <w:r>
              <w:rPr>
                <w:color w:val="252A28"/>
                <w:sz w:val="20"/>
              </w:rPr>
              <w:t>37 parcels / 1,799.75 habitat acres</w:t>
            </w:r>
          </w:p>
        </w:tc>
      </w:tr>
      <w:tr>
        <w:trPr>
          <w:cantSplit/>
        </w:trPr>
        <w:tc>
          <w:tcPr>
            <w:tcW w:type="dxa" w:w="1570"/>
            <w:vAlign w:val="center"/>
            <w:shd w:val="clear" w:color="auto" w:fill="FFFFFF"/>
          </w:tcPr>
          <w:p>
            <w:pPr>
              <w:spacing w:after="0" w:line="245" w:lineRule="auto"/>
              <w:jc w:val="right"/>
            </w:pPr>
            <w:r>
              <w:rPr>
                <w:color w:val="252A28"/>
                <w:sz w:val="20"/>
              </w:rPr>
              <w:t>$50 million</w:t>
            </w:r>
          </w:p>
        </w:tc>
        <w:tc>
          <w:tcPr>
            <w:tcW w:type="dxa" w:w="4003"/>
            <w:vAlign w:val="center"/>
            <w:shd w:val="clear" w:color="auto" w:fill="FFFFFF"/>
          </w:tcPr>
          <w:p>
            <w:pPr>
              <w:spacing w:after="0" w:line="245" w:lineRule="auto"/>
            </w:pPr>
            <w:r>
              <w:rPr>
                <w:color w:val="252A28"/>
                <w:sz w:val="20"/>
              </w:rPr>
              <w:t>124 parcels / 3,306.38 habitat acres</w:t>
            </w:r>
          </w:p>
        </w:tc>
        <w:tc>
          <w:tcPr>
            <w:tcW w:type="dxa" w:w="4421"/>
            <w:vAlign w:val="center"/>
            <w:shd w:val="clear" w:color="auto" w:fill="FFFFFF"/>
          </w:tcPr>
          <w:p>
            <w:pPr>
              <w:spacing w:after="0" w:line="245" w:lineRule="auto"/>
            </w:pPr>
            <w:r>
              <w:rPr>
                <w:color w:val="252A28"/>
                <w:sz w:val="20"/>
              </w:rPr>
              <w:t>102 parcels / 3,107.36 habitat acres</w:t>
            </w:r>
          </w:p>
        </w:tc>
      </w:tr>
    </w:tbl>
    <w:p>
      <w:pPr>
        <w:pStyle w:val="SourceNote"/>
      </w:pPr>
      <w:r>
        <w:t xml:space="preserve">Source: </w:t>
      </w:r>
      <w:r>
        <w:rPr>
          <w:color w:val="5B6268"/>
          <w:sz w:val="18"/>
        </w:rPr>
        <w:t>[1]</w:t>
      </w:r>
      <w:r>
        <w:t>, Table 11. Lifecycle runs include stewardship present value at 3% and the same reserve. All habitat figures mean credited screened acres. The 2018–2020 set remains 15 parcels and 115.09 acres; its lifecycle cost is $8.97 million.</w:t>
      </w:r>
    </w:p>
    <w:p>
      <w:r>
        <w:t xml:space="preserve">The ecological classification is sensitive too. Stricter and relaxed habitat rules change the same 15-parcel set’s credited acreage to 49.64 and 227.43. Those tests alter habitat classification inside the original connected components; they do not rebuild the graph or provide confidence bounds. </w:t>
      </w:r>
      <w:r>
        <w:rPr>
          <w:color w:val="5B6268"/>
          <w:sz w:val="18"/>
        </w:rPr>
        <w:t>[1, Table 13]</w:t>
      </w:r>
    </w:p>
    <w:p>
      <w:r>
        <w:br w:type="page"/>
      </w:r>
    </w:p>
    <w:p>
      <w:pPr>
        <w:pStyle w:val="Eyebrow"/>
      </w:pPr>
      <w:r>
        <w:t>POLICY OBJECTIVES AND ALTERNATIVES</w:t>
      </w:r>
    </w:p>
    <w:p>
      <w:pPr>
        <w:pStyle w:val="Heading1"/>
      </w:pPr>
      <w:r>
        <w:rPr>
          <w:color w:val="6A2E35"/>
        </w:rPr>
        <w:t>Different tools change different parts of the problem</w:t>
      </w:r>
    </w:p>
    <w:p>
      <w:r>
        <w:t xml:space="preserve">The study evaluates habitat outcomes, cost-effectiveness, and the distribution of costs. These are research objectives within a broader recovery effort—not WDFW’s only goals. The recovery plan also addresses viable populations, monitoring, research, restoration, and coordinated recovery work. </w:t>
      </w:r>
      <w:r>
        <w:rPr>
          <w:b/>
        </w:rPr>
        <w:t>Acres per dollar describe cost-effectiveness; they do not establish a monetary benefit–cost ratio.</w:t>
      </w:r>
      <w:r>
        <w:t xml:space="preserve"> </w:t>
      </w:r>
      <w:r>
        <w:rPr>
          <w:color w:val="5B6268"/>
          <w:sz w:val="18"/>
        </w:rPr>
        <w:t>[1, pp. 6–7; 4]</w:t>
      </w:r>
    </w:p>
    <w:p>
      <w:pPr>
        <w:pStyle w:val="Heading2"/>
      </w:pPr>
      <w:r>
        <w:rPr>
          <w:color w:val="6A2E35"/>
        </w:rPr>
        <w:t>Who pays—and what is actually forgone?</w:t>
      </w:r>
    </w:p>
    <w:p>
      <w:r>
        <w:t xml:space="preserve">An acquisition payment leaves the public budget and enters the seller’s account. The resource cost is different: it includes the net value of uses displaced and the work needed to complete and maintain protection. Counting the purchase price and then adding timber earnings already capitalized into it would double-count overlapping value. The paper separates </w:t>
      </w:r>
      <w:r>
        <w:rPr>
          <w:color w:val="6A2E35"/>
        </w:rPr>
        <w:t>government spending, real resource costs, and transfers between parties</w:t>
      </w:r>
      <w:r>
        <w:t xml:space="preserve">. </w:t>
      </w:r>
      <w:r>
        <w:rPr>
          <w:color w:val="5B6268"/>
          <w:sz w:val="18"/>
        </w:rPr>
        <w:t>[1, pp. 13–14; 5]</w:t>
      </w:r>
    </w:p>
    <w:p>
      <w:r>
        <w:t xml:space="preserve">Participating owners exchange specified rights for compensation. Timber workers and contractors could experience displaced activity; stewardship could support different work. Neither jobs nor forgone profits are estimated. County tax effects require parcel-specific fiscal analysis. Identified Tribal holdings are excluded from the private-purchase screen, but that does not replace consultation about sovereign, cultural, access, or off-parcel interests. </w:t>
      </w:r>
      <w:r>
        <w:rPr>
          <w:color w:val="5B6268"/>
          <w:sz w:val="18"/>
        </w:rPr>
        <w:t>[1, pp. 13–14]</w:t>
      </w:r>
    </w:p>
    <w:p>
      <w:pPr>
        <w:pStyle w:val="Heading2"/>
      </w:pPr>
      <w:r>
        <w:rPr>
          <w:color w:val="6A2E35"/>
        </w:rPr>
        <w:t>Ownership, restrictions, and forest management</w:t>
      </w:r>
    </w:p>
    <w:p>
      <w:r>
        <w:rPr>
          <w:b/>
        </w:rPr>
        <w:t>Fee-simple acquisition changes control of the land.</w:t>
      </w:r>
      <w:r>
        <w:t xml:space="preserve"> It can place successive management decisions under a conservation purpose and coordinate care across connected parcels. It also requires the complete purchase price, willing sellers, and continuing stewardship. Ownership does not remove fire, disease, or changing forest conditions. </w:t>
      </w:r>
      <w:r>
        <w:rPr>
          <w:color w:val="5B6268"/>
          <w:sz w:val="18"/>
        </w:rPr>
        <w:t>[1, pp. 4, 15–17]</w:t>
      </w:r>
    </w:p>
    <w:p>
      <w:r>
        <w:rPr>
          <w:b/>
        </w:rPr>
        <w:t>An easement changes specified rights without necessarily changing ownership.</w:t>
      </w:r>
      <w:r>
        <w:t xml:space="preserve"> Compatible uses can remain, but the ecological outcome depends on the restrictions actually obtained and enforced. Its price needs a rights-specific appraisal; the paper does not assume that an easement costs a fixed percentage of a full purchase. </w:t>
      </w:r>
      <w:r>
        <w:rPr>
          <w:color w:val="5B6268"/>
          <w:sz w:val="18"/>
        </w:rPr>
        <w:t>[1, pp. 8, 15]</w:t>
      </w:r>
    </w:p>
    <w:p>
      <w:r>
        <w:rPr>
          <w:b/>
        </w:rPr>
        <w:t>A retention rule changes what landowners may do.</w:t>
      </w:r>
      <w:r>
        <w:t xml:space="preserve"> A spatial rule could address nest and food trees, canopy cover, and connected crowns rather than tree counts alone. Regulation can apply beyond land available for voluntary purchase, while involving administration, compliance, and enforcement. The paper specifies no numerical tree quota or spacing rule and assumes none to be current law. </w:t>
      </w:r>
      <w:r>
        <w:rPr>
          <w:color w:val="5B6268"/>
          <w:sz w:val="18"/>
        </w:rPr>
        <w:t>[1, pp. 16–17]</w:t>
      </w:r>
    </w:p>
    <w:p>
      <w:r>
        <w:rPr>
          <w:b/>
        </w:rPr>
        <w:t>Management and restoration change forest conditions.</w:t>
      </w:r>
      <w:r>
        <w:t xml:space="preserve"> Work on land already controlled can avoid a purchase payment. Restoration can create additional habitat, but only as the required structure develops; planted acreage is not instantly mature habitat. The paper lacks comparable treatment prescriptions and costs for a quantified management-only alternative. </w:t>
      </w:r>
      <w:r>
        <w:rPr>
          <w:color w:val="5B6268"/>
          <w:sz w:val="18"/>
        </w:rPr>
        <w:t>[1, p. 15]</w:t>
      </w:r>
    </w:p>
    <w:p>
      <w:pPr>
        <w:keepLines/>
        <w:spacing w:before="80" w:after="180"/>
        <w:ind w:left="173" w:right="115"/>
        <w:shd w:fill="FCF8F1" w:val="clear" w:color="auto"/>
        <w:pBdr>
          <w:left w:val="single" w:sz="12" w:space="5" w:color="A8864B"/>
        </w:pBdr>
      </w:pPr>
      <w:r>
        <w:rPr>
          <w:b/>
          <w:color w:val="6A2E35"/>
        </w:rPr>
        <w:t>The long-run comparison is not “purchase once” versus “maintain forever.”</w:t>
      </w:r>
      <w:r>
        <w:rPr>
          <w:color w:val="6A2E35"/>
        </w:rPr>
        <w:t xml:space="preserve"> It is how much additional, functioning habitat each option retains over the same 30 years, with acquisition, stewardship, administration, compliance, and opportunity costs counted consistently. </w:t>
      </w:r>
      <w:r>
        <w:rPr>
          <w:color w:val="6A2E35"/>
          <w:sz w:val="18"/>
        </w:rPr>
        <w:t>[1, p. 16; 5]</w:t>
      </w:r>
    </w:p>
    <w:p>
      <w:r>
        <w:t xml:space="preserve">The paper develops durable conservation control as the rationale for acquisition, but does not price a complete regulatory, easement, or management alternative. It therefore does not establish that acquisition is universally less expensive, eliminates future regulation, or delivers greater net social benefit. </w:t>
      </w:r>
      <w:r>
        <w:rPr>
          <w:color w:val="5B6268"/>
          <w:sz w:val="18"/>
        </w:rPr>
        <w:t>[1, pp. 13, 15–17]</w:t>
      </w:r>
    </w:p>
    <w:p>
      <w:r>
        <w:br w:type="page"/>
      </w:r>
    </w:p>
    <w:p>
      <w:pPr>
        <w:pStyle w:val="Eyebrow"/>
      </w:pPr>
      <w:r>
        <w:t>DATA NEEDS AND IMPLEMENTATION</w:t>
      </w:r>
    </w:p>
    <w:p>
      <w:pPr>
        <w:pStyle w:val="Heading1"/>
      </w:pPr>
      <w:r>
        <w:rPr>
          <w:color w:val="6A2E35"/>
        </w:rPr>
        <w:t>Turning a modeled parcel into a documented opportunity</w:t>
      </w:r>
    </w:p>
    <w:p>
      <w:r>
        <w:t xml:space="preserve">The revised paper’s evidence statement is precise: </w:t>
      </w:r>
      <w:r>
        <w:rPr>
          <w:b/>
        </w:rPr>
        <w:t>recent public presence records exist and can strengthen evidence for nearby parcels, but a complete contemporary occupancy surface remains unavailable in the sources located.</w:t>
      </w:r>
      <w:r>
        <w:t xml:space="preserve"> Those records were not used to calculate the reported portfolios. The next inputs are precise recent sightings, repeat-survey results, and the University of Washington (UW)/WDFW prioritization model. A full map of present-day occupancy and its release date are not assumed. </w:t>
      </w:r>
      <w:r>
        <w:rPr>
          <w:color w:val="5B6268"/>
          <w:sz w:val="18"/>
        </w:rPr>
        <w:t>[1, pp. 4–5, 34–35]</w:t>
      </w:r>
    </w:p>
    <w:p>
      <w:pPr>
        <w:pStyle w:val="Heading2"/>
      </w:pPr>
      <w:r>
        <w:rPr>
          <w:color w:val="6A2E35"/>
        </w:rPr>
        <w:t>Make each new observation usable.</w:t>
      </w:r>
    </w:p>
    <w:p>
      <w:r>
        <w:t xml:space="preserve">A sighting needs its observation date, identification evidence, coordinates or location uncertainty, source identifier, and release conditions. Repeat surveys need effort and both detections and nondetections, so a missed animal is not confused with an absent one. The agency model needs a documented version, inputs, resolution, and validation before its outputs can be compared with this screen. </w:t>
      </w:r>
      <w:r>
        <w:rPr>
          <w:color w:val="5B6268"/>
          <w:sz w:val="18"/>
        </w:rPr>
        <w:t>[1, p. 35]</w:t>
      </w:r>
    </w:p>
    <w:p>
      <w:pPr>
        <w:pStyle w:val="Heading2"/>
      </w:pPr>
      <w:r>
        <w:rPr>
          <w:color w:val="6A2E35"/>
        </w:rPr>
        <w:t>Connect field evidence to transaction evidence.</w:t>
      </w:r>
    </w:p>
    <w:p>
      <w:r>
        <w:t xml:space="preserve">The paper’s implementation framework checks current use or a documented connection role; actual tree structure and barriers; title, access, and the complete purchase package; seller participation; independent appraisal; additionality against a credible baseline; and funded stewardship. No seller offers were obtained. The selected 2018–2020 parcels have no active forest-practice application overlap in the retrieved layer, so imminent harvest is not demonstrated for that set. </w:t>
      </w:r>
      <w:r>
        <w:rPr>
          <w:color w:val="5B6268"/>
          <w:sz w:val="18"/>
        </w:rPr>
        <w:t>[1, pp. 12, 33–34]</w:t>
      </w:r>
    </w:p>
    <w:p>
      <w:pPr>
        <w:pStyle w:val="Heading2"/>
      </w:pPr>
      <w:r>
        <w:rPr>
          <w:color w:val="6A2E35"/>
        </w:rPr>
        <w:t>Keep the next result reproducible.</w:t>
      </w:r>
    </w:p>
    <w:p>
      <w:r>
        <w:t xml:space="preserve">A changed sighting, price, seller package, or rights agreement belongs in a </w:t>
      </w:r>
      <w:r>
        <w:rPr>
          <w:color w:val="6A2E35"/>
        </w:rPr>
        <w:t>new named model run</w:t>
      </w:r>
      <w:r>
        <w:t xml:space="preserve">—not a manual revision to an acreage total. The paper specifies source manifests, checksums, exclusions, connected components, solver output, and parcel schedules. Monitoring then separates observed habitat and occupancy changes from claims of causal impact. </w:t>
      </w:r>
      <w:r>
        <w:rPr>
          <w:b/>
        </w:rPr>
        <w:t>The analysis supplies identifiable land units and testable conditions; the funding and transaction decisions remain with the responsible authorities.</w:t>
      </w:r>
      <w:r>
        <w:t xml:space="preserve"> </w:t>
      </w:r>
      <w:r>
        <w:rPr>
          <w:color w:val="5B6268"/>
          <w:sz w:val="18"/>
        </w:rPr>
        <w:t>[1, pp. 34–35]</w:t>
      </w:r>
    </w:p>
    <w:p>
      <w:pPr>
        <w:pStyle w:val="Heading2"/>
      </w:pPr>
      <w:r>
        <w:rPr>
          <w:color w:val="6A2E35"/>
        </w:rPr>
        <w:t>Sources and reproducibility trail</w:t>
      </w:r>
    </w:p>
    <w:p>
      <w:pPr>
        <w:pStyle w:val="SourceNote"/>
      </w:pPr>
      <w:r>
        <w:t>The revised research paper is the controlling source for every portfolio, parcel, and numerical result in this brief. The earlier brief supplies the policy-topic structure. This is an editorial reconstruction, not a new acquisition-model run or independent dataset audit. Agency findings and the supplemental presence statement are reported as documented in the paper.</w:t>
      </w:r>
    </w:p>
    <w:p>
      <w:pPr>
        <w:pStyle w:val="ReferencesSmall"/>
      </w:pPr>
      <w:r>
        <w:rPr>
          <w:b/>
        </w:rPr>
        <w:t xml:space="preserve">1. </w:t>
      </w:r>
      <w:r>
        <w:rPr>
          <w:i/>
        </w:rPr>
        <w:t>Targeted habitat acquisition for western gray squirrels in Klickitat County.</w:t>
      </w:r>
      <w:r>
        <w:t xml:space="preserve"> Research paper by Benny Scott | Edict Economics, 19 September 2026; crimson design edition. File: WGS_Klickitat_Acquisition_Edict_Crimson.docx. Tables 1, 3, 4, 10, 11, 13, 14; Appendices A–D. The paper describes the separate code and data archive.</w:t>
      </w:r>
    </w:p>
    <w:p>
      <w:pPr>
        <w:pStyle w:val="ReferencesSmall"/>
      </w:pPr>
      <w:r>
        <w:rPr>
          <w:b/>
        </w:rPr>
        <w:t xml:space="preserve">2. </w:t>
      </w:r>
      <w:hyperlink r:id="rId11">
        <w:r>
          <w:rPr>
            <w:color w:val="752F43"/>
            <w:sz w:val="18"/>
          </w:rPr>
          <w:t>Periodic status review for the western gray squirrel in Washington.</w:t>
        </w:r>
      </w:hyperlink>
      <w:r>
        <w:t xml:space="preserve"> Wiles, Stinson, and Linders. WDFW, 2023. Ecological context as cited in the paper.</w:t>
      </w:r>
    </w:p>
    <w:p>
      <w:pPr>
        <w:pStyle w:val="ReferencesSmall"/>
      </w:pPr>
      <w:r>
        <w:rPr>
          <w:b/>
        </w:rPr>
        <w:t xml:space="preserve">3. </w:t>
      </w:r>
      <w:hyperlink r:id="rId12">
        <w:r>
          <w:rPr>
            <w:color w:val="752F43"/>
            <w:sz w:val="18"/>
          </w:rPr>
          <w:t>Management recommendations: western gray squirrel.</w:t>
        </w:r>
      </w:hyperlink>
      <w:r>
        <w:t xml:space="preserve"> Linders and colleagues. WDFW, 2010. Habitat guidance underlying the paper’s screen; analyst thresholds are distinguished in Appendix B.</w:t>
      </w:r>
    </w:p>
    <w:p>
      <w:pPr>
        <w:pStyle w:val="ReferencesSmall"/>
      </w:pPr>
      <w:r>
        <w:rPr>
          <w:b/>
        </w:rPr>
        <w:t xml:space="preserve">4. </w:t>
      </w:r>
      <w:hyperlink r:id="rId13">
        <w:r>
          <w:rPr>
            <w:color w:val="752F43"/>
            <w:sz w:val="18"/>
          </w:rPr>
          <w:t>Washington State recovery plan for the western gray squirrel.</w:t>
        </w:r>
      </w:hyperlink>
      <w:r>
        <w:t xml:space="preserve"> Linders and Stinson. WDFW, 2007. Recovery objectives as cited in the paper.</w:t>
      </w:r>
    </w:p>
    <w:p>
      <w:pPr>
        <w:pStyle w:val="ReferencesSmall"/>
      </w:pPr>
      <w:r>
        <w:rPr>
          <w:b/>
        </w:rPr>
        <w:t xml:space="preserve">5. </w:t>
      </w:r>
      <w:hyperlink r:id="rId14">
        <w:r>
          <w:rPr>
            <w:color w:val="752F43"/>
            <w:sz w:val="18"/>
          </w:rPr>
          <w:t>Guidelines for Preparing Economic Analyses, third edition.</w:t>
        </w:r>
      </w:hyperlink>
      <w:r>
        <w:t xml:space="preserve"> U.S. EPA, 2024. Baselines, timing, costs, and distribution; also cited in the paper.</w:t>
      </w:r>
    </w:p>
    <w:sectPr w:rsidR="00FC693F" w:rsidRPr="0006063C" w:rsidSect="00034616">
      <w:headerReference w:type="default" r:id="rId9"/>
      <w:footerReference w:type="default" r:id="rId10"/>
      <w:pgSz w:w="12240" w:h="15840"/>
      <w:pgMar w:top="965" w:right="1123" w:bottom="936" w:left="1123" w:header="202"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994" w:val="right"/>
      </w:tabs>
    </w:pPr>
    <w:r>
      <w:rPr>
        <w:color w:val="4A524E"/>
        <w:sz w:val="16"/>
      </w:rPr>
      <w:t>Klickitat County  |  Analysis snapshot: 19 September 2026</w:t>
      <w:tab/>
    </w:r>
    <w:r>
      <w:rPr>
        <w:color w:val="5B6268"/>
        <w:sz w:val="16"/>
      </w:rPr>
    </w:r>
    <w:fldSimple w:instr="PAGE">
      <w:r>
        <w:rPr>
          <w:sz w:val="16"/>
        </w:rPr>
        <w:t>1</w:t>
      </w:r>
    </w:fldSimple>
    <w:r>
      <w:rPr>
        <w:color w:val="4A524E"/>
        <w:sz w:val="16"/>
      </w:rPr>
      <w:t xml:space="preserve"> / </w:t>
    </w:r>
    <w:fldSimple w:instr="NUMPAGES">
      <w:r>
        <w:rPr>
          <w:sz w:val="16"/>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Borders>
        <w:top w:val="nil"/>
        <w:left w:val="nil"/>
        <w:bottom w:val="single" w:sz="4" w:color="A8864B"/>
        <w:right w:val="nil"/>
        <w:insideH w:val="nil"/>
        <w:insideV w:val="nil"/>
      </w:tblBorders>
      <w:tblCellMar>
        <w:top w:w="0" w:type="dxa"/>
        <w:left w:w="0" w:type="dxa"/>
        <w:bottom w:w="20" w:type="dxa" w:color="A8864B"/>
        <w:right w:w="0" w:type="dxa"/>
      </w:tblCellMar>
      <w:tblInd w:w="0" w:type="dxa"/>
    </w:tblPr>
    <w:tblGrid>
      <w:gridCol w:w="3096"/>
      <w:gridCol w:w="3298"/>
      <w:gridCol w:w="3600"/>
    </w:tblGrid>
    <w:tr>
      <w:tc>
        <w:tcPr>
          <w:tcW w:type="dxa" w:w="3096"/>
          <w:vAlign w:val="center"/>
          <w:tcMar>
            <w:top w:w="0" w:type="dxa"/>
            <w:left w:w="0" w:type="dxa"/>
            <w:bottom w:w="0" w:type="dxa" w:color="A8864B"/>
            <w:right w:w="0" w:type="dxa"/>
          </w:tcMar>
        </w:tcPr>
        <w:p>
          <w:pPr>
            <w:keepNext w:val="0"/>
            <w:spacing w:before="0" w:after="0" w:line="240" w:lineRule="auto"/>
            <w:jc w:val="left"/>
          </w:pPr>
          <w:r>
            <w:rPr>
              <w:rFonts w:ascii="Arial" w:hAnsi="Arial"/>
              <w:b w:val="0"/>
              <w:color w:val="515151"/>
              <w:sz w:val="13"/>
            </w:rPr>
            <w:t>INDEPENDENT ANALYSIS BY</w:t>
          </w:r>
        </w:p>
        <w:p>
          <w:pPr>
            <w:keepNext w:val="0"/>
            <w:spacing w:before="0" w:after="0" w:line="240" w:lineRule="auto"/>
            <w:jc w:val="left"/>
          </w:pPr>
          <w:r>
            <w:drawing>
              <wp:inline xmlns:a="http://schemas.openxmlformats.org/drawingml/2006/main" xmlns:pic="http://schemas.openxmlformats.org/drawingml/2006/picture">
                <wp:extent cx="1470094" cy="310896"/>
                <wp:docPr id="1" name="Picture 1" descr="Edict Economics, independent report author"/>
                <wp:cNvGraphicFramePr>
                  <a:graphicFrameLocks noChangeAspect="1"/>
                </wp:cNvGraphicFramePr>
                <a:graphic>
                  <a:graphicData uri="http://schemas.openxmlformats.org/drawingml/2006/picture">
                    <pic:pic>
                      <pic:nvPicPr>
                        <pic:cNvPr id="0" name="edict_header_lockup.png"/>
                        <pic:cNvPicPr/>
                      </pic:nvPicPr>
                      <pic:blipFill>
                        <a:blip r:embed="rId1"/>
                        <a:stretch>
                          <a:fillRect/>
                        </a:stretch>
                      </pic:blipFill>
                      <pic:spPr>
                        <a:xfrm>
                          <a:off x="0" y="0"/>
                          <a:ext cx="1470094" cy="310896"/>
                        </a:xfrm>
                        <a:prstGeom prst="rect"/>
                      </pic:spPr>
                    </pic:pic>
                  </a:graphicData>
                </a:graphic>
              </wp:inline>
            </w:drawing>
          </w:r>
        </w:p>
      </w:tc>
      <w:tc>
        <w:tcPr>
          <w:tcW w:type="dxa" w:w="3298"/>
          <w:vAlign w:val="center"/>
          <w:tcMar>
            <w:top w:w="0" w:type="dxa"/>
            <w:left w:w="0" w:type="dxa"/>
            <w:bottom w:w="0" w:type="dxa" w:color="A8864B"/>
            <w:right w:w="0" w:type="dxa"/>
          </w:tcMar>
        </w:tcPr>
        <w:p>
          <w:pPr>
            <w:keepNext w:val="0"/>
            <w:spacing w:before="0" w:after="0" w:line="240" w:lineRule="auto"/>
            <w:jc w:val="center"/>
          </w:pPr>
          <w:r>
            <w:rPr>
              <w:rFonts w:ascii="Arial" w:hAnsi="Arial"/>
              <w:b/>
              <w:color w:val="6A2E35"/>
              <w:sz w:val="14"/>
            </w:rPr>
            <w:t>WESTERN GRAY SQUIRREL</w:t>
            <w:br/>
            <w:t>HABITAT ACQUISITION</w:t>
          </w:r>
        </w:p>
      </w:tc>
      <w:tc>
        <w:tcPr>
          <w:tcW w:type="dxa" w:w="3600"/>
          <w:vAlign w:val="center"/>
          <w:tcMar>
            <w:top w:w="0" w:type="dxa"/>
            <w:left w:w="0" w:type="dxa"/>
            <w:bottom w:w="0" w:type="dxa" w:color="A8864B"/>
            <w:right w:w="0" w:type="dxa"/>
          </w:tcMar>
        </w:tcPr>
        <w:p>
          <w:pPr>
            <w:keepNext w:val="0"/>
            <w:spacing w:before="0" w:after="0" w:line="240" w:lineRule="auto"/>
            <w:jc w:val="right"/>
          </w:pPr>
          <w:r>
            <w:rPr>
              <w:rFonts w:ascii="Arial" w:hAnsi="Arial"/>
              <w:b w:val="0"/>
              <w:color w:val="515151"/>
              <w:sz w:val="13"/>
            </w:rPr>
            <w:t>PREPARED FOR CONSIDERATION BY</w:t>
          </w:r>
        </w:p>
        <w:p>
          <w:pPr>
            <w:keepNext w:val="0"/>
            <w:spacing w:before="0" w:after="0" w:line="240" w:lineRule="auto"/>
            <w:jc w:val="right"/>
          </w:pPr>
          <w:r>
            <w:rPr>
              <w:rFonts w:ascii="Arial" w:hAnsi="Arial"/>
              <w:b/>
              <w:color w:val="3B4540"/>
              <w:sz w:val="18"/>
              <w:position w:val="14"/>
            </w:rPr>
            <w:t xml:space="preserve">WDFW  </w:t>
          </w:r>
          <w:r>
            <w:drawing>
              <wp:inline xmlns:a="http://schemas.openxmlformats.org/drawingml/2006/main" xmlns:pic="http://schemas.openxmlformats.org/drawingml/2006/picture">
                <wp:extent cx="264417" cy="310896"/>
                <wp:docPr id="2" name="Picture 2" descr="Washington Department of Fish and Wildlife, intended recipient; not an author or sponsor"/>
                <wp:cNvGraphicFramePr>
                  <a:graphicFrameLocks noChangeAspect="1"/>
                </wp:cNvGraphicFramePr>
                <a:graphic>
                  <a:graphicData uri="http://schemas.openxmlformats.org/drawingml/2006/picture">
                    <pic:pic>
                      <pic:nvPicPr>
                        <pic:cNvPr id="0" name="wdfw_header_placement.png"/>
                        <pic:cNvPicPr/>
                      </pic:nvPicPr>
                      <pic:blipFill>
                        <a:blip r:embed="rId2"/>
                        <a:stretch>
                          <a:fillRect/>
                        </a:stretch>
                      </pic:blipFill>
                      <pic:spPr>
                        <a:xfrm>
                          <a:off x="0" y="0"/>
                          <a:ext cx="264417" cy="310896"/>
                        </a:xfrm>
                        <a:prstGeom prst="rect"/>
                      </pic:spPr>
                    </pic:pic>
                  </a:graphicData>
                </a:graphic>
              </wp:inline>
            </w:drawing>
          </w:r>
        </w:p>
      </w:tc>
    </w:tr>
  </w:tbl>
  <w:p>
    <w:pPr>
      <w:spacing w:before="0" w:after="0" w:lineRule="exact" w:line="20"/>
    </w:pPr>
    <w:r>
      <w:rPr>
        <w:sz w:val="2"/>
      </w:r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2" w:lineRule="auto" w:after="140"/>
    </w:pPr>
    <w:rPr>
      <w:rFonts w:ascii="Calibri" w:hAnsi="Calibri"/>
      <w:color w:val="252A28"/>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line="245" w:lineRule="auto"/>
      <w:outlineLvl w:val="0"/>
    </w:pPr>
    <w:rPr>
      <w:rFonts w:asciiTheme="majorHAnsi" w:eastAsiaTheme="majorEastAsia" w:hAnsiTheme="majorHAnsi" w:cstheme="majorBidi" w:ascii="Calibri" w:hAnsi="Calibri"/>
      <w:b/>
      <w:bCs/>
      <w:color w:val="6A2E35"/>
      <w:sz w:val="34"/>
      <w:szCs w:val="28"/>
    </w:rPr>
  </w:style>
  <w:style w:type="paragraph" w:styleId="Heading2">
    <w:name w:val="heading 2"/>
    <w:basedOn w:val="Normal"/>
    <w:next w:val="Normal"/>
    <w:link w:val="Heading2Char"/>
    <w:uiPriority w:val="9"/>
    <w:unhideWhenUsed/>
    <w:qFormat/>
    <w:rsid w:val="00FC693F"/>
    <w:pPr>
      <w:keepNext/>
      <w:keepLines/>
      <w:spacing w:before="220" w:after="120" w:line="245" w:lineRule="auto"/>
      <w:outlineLvl w:val="1"/>
    </w:pPr>
    <w:rPr>
      <w:rFonts w:asciiTheme="majorHAnsi" w:eastAsiaTheme="majorEastAsia" w:hAnsiTheme="majorHAnsi" w:cstheme="majorBidi" w:ascii="Calibri" w:hAnsi="Calibri"/>
      <w:b/>
      <w:bCs/>
      <w:color w:val="6A2E35"/>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pBdr>
        <w:bottom w:val="single" w:sz="8" w:space="4" w:color="752F43"/>
      </w:pBdr>
      <w:spacing w:after="120" w:line="245" w:lineRule="auto" w:before="0"/>
      <w:contextualSpacing/>
    </w:pPr>
    <w:rPr>
      <w:rFonts w:asciiTheme="majorHAnsi" w:eastAsiaTheme="majorEastAsia" w:hAnsiTheme="majorHAnsi" w:cstheme="majorBidi" w:ascii="Calibri" w:hAnsi="Calibri"/>
      <w:b/>
      <w:color w:val="4E2027"/>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line="245" w:lineRule="auto" w:after="100"/>
    </w:pPr>
    <w:rPr>
      <w:rFonts w:asciiTheme="majorHAnsi" w:eastAsiaTheme="majorEastAsia" w:hAnsiTheme="majorHAnsi" w:cstheme="majorBidi" w:ascii="Calibri" w:hAnsi="Calibri"/>
      <w:i/>
      <w:iCs/>
      <w:color w:val="4A524E"/>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widowControl/>
      <w:spacing w:after="140" w:line="262" w:lineRule="auto"/>
    </w:pPr>
    <w:rPr>
      <w:rFonts w:ascii="Calibri" w:hAnsi="Calibri"/>
      <w:color w:val="24282C"/>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spacing w:line="245" w:lineRule="auto" w:after="100"/>
    </w:pPr>
    <w:rPr>
      <w:rFonts w:ascii="Calibri" w:hAnsi="Calibri"/>
      <w:b/>
      <w:bCs/>
      <w:color w:val="4A524E"/>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basedOn w:val="Normal"/>
    <w:pPr>
      <w:keepLines/>
      <w:widowControl/>
      <w:spacing w:line="245" w:lineRule="auto" w:after="100"/>
    </w:pPr>
    <w:rPr>
      <w:rFonts w:ascii="Calibri" w:hAnsi="Calibri"/>
      <w:color w:val="4A524E"/>
      <w:sz w:val="17"/>
    </w:rPr>
  </w:style>
  <w:style w:type="paragraph" w:customStyle="1" w:styleId="ReferencesSmall">
    <w:name w:val="References Small"/>
    <w:basedOn w:val="Normal"/>
    <w:pPr>
      <w:keepLines/>
      <w:widowControl/>
      <w:spacing w:line="245" w:lineRule="auto" w:after="100"/>
    </w:pPr>
    <w:rPr>
      <w:rFonts w:ascii="Calibri" w:hAnsi="Calibri"/>
      <w:color w:val="4A524E"/>
      <w:sz w:val="18"/>
    </w:rPr>
  </w:style>
  <w:style w:type="paragraph" w:customStyle="1" w:styleId="Eyebrow">
    <w:name w:val="Eyebrow"/>
    <w:basedOn w:val="Normal"/>
    <w:pPr>
      <w:keepNext/>
      <w:widowControl/>
      <w:spacing w:line="245" w:lineRule="auto" w:after="160"/>
    </w:pPr>
    <w:rPr>
      <w:rFonts w:ascii="Calibri" w:hAnsi="Calibri"/>
      <w:b/>
      <w:color w:val="6A2E35"/>
      <w:sz w:val="18"/>
    </w:rPr>
  </w:style>
  <w:style w:type="paragraph" w:customStyle="1" w:styleId="Formula">
    <w:name w:val="Formula"/>
    <w:basedOn w:val="Normal"/>
    <w:pPr>
      <w:keepLines/>
      <w:widowControl/>
      <w:spacing w:line="245" w:lineRule="auto" w:after="140"/>
      <w:ind w:left="173"/>
    </w:pPr>
    <w:rPr>
      <w:rFonts w:ascii="Calibri" w:hAnsi="Calibri"/>
      <w:color w:val="24282C"/>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dfw.wa.gov/sites/default/files/publications/02410/wdfw02410.pdf" TargetMode="External"/><Relationship Id="rId12" Type="http://schemas.openxmlformats.org/officeDocument/2006/relationships/hyperlink" Target="https://wdfw.wa.gov/sites/default/files/publications/00027/western_gray_squirrel_final.pdf" TargetMode="External"/><Relationship Id="rId13" Type="http://schemas.openxmlformats.org/officeDocument/2006/relationships/hyperlink" Target="https://wdfw.wa.gov/sites/default/files/publications/00119/wdfw00119.pdf" TargetMode="External"/><Relationship Id="rId14" Type="http://schemas.openxmlformats.org/officeDocument/2006/relationships/hyperlink" Target="https://www.epa.gov/environmental-economics/guidelines-preparing-economic-analyses-3rd-edit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A51C30"/>
      </a:accent1>
      <a:accent2>
        <a:srgbClr val="A8864B"/>
      </a:accent2>
      <a:accent3>
        <a:srgbClr val="6A2E35"/>
      </a:accent3>
      <a:accent4>
        <a:srgbClr val="252A28"/>
      </a:accent4>
      <a:accent5>
        <a:srgbClr val="4A524E"/>
      </a:accent5>
      <a:accent6>
        <a:srgbClr val="F6F2E9"/>
      </a:accent6>
      <a:hlink>
        <a:srgbClr val="6A2E35"/>
      </a:hlink>
      <a:folHlink>
        <a:srgbClr val="4E2027"/>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Protecting western gray squirrel habitat in Klickitat County</dc:title>
  <dc:subject>Source-aligned brief on acquisition scenarios, habitat accounting, methods, and policy alternatives</dc:subject>
  <dc:creator>Benny Scott | Edict Economics</dc:creator>
  <cp:keywords>western gray squirrel; Klickitat County; habitat acquisition; research brief</cp:keywords>
  <dc:description>Recreated from the supplied revised paper and original brief. No model rerun.</dc:description>
  <cp:lastModifiedBy/>
  <cp:revision>1</cp:revision>
  <dcterms:created xsi:type="dcterms:W3CDTF">2013-12-23T23:15:00Z</dcterms:created>
  <dcterms:modified xsi:type="dcterms:W3CDTF">2026-09-21T00:00:00Z</dcterms:modified>
  <cp:category/>
  <dc:language>en-US</dc:language>
</cp:coreProperties>
</file>